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A6FD5" w14:textId="08FEBAA9" w:rsidR="009A191B" w:rsidRPr="001B2779" w:rsidRDefault="00C159E1" w:rsidP="001159AE">
      <w:pPr>
        <w:pStyle w:val="Title"/>
        <w:rPr>
          <w:sz w:val="72"/>
        </w:rPr>
      </w:pPr>
      <w:r w:rsidRPr="001B2779">
        <w:rPr>
          <w:sz w:val="72"/>
        </w:rPr>
        <w:t>ECE</w:t>
      </w:r>
      <w:r w:rsidR="001159AE" w:rsidRPr="001B2779">
        <w:rPr>
          <w:sz w:val="72"/>
        </w:rPr>
        <w:t xml:space="preserve"> </w:t>
      </w:r>
      <w:r w:rsidR="008E5FD0" w:rsidRPr="001B2779">
        <w:rPr>
          <w:sz w:val="72"/>
        </w:rPr>
        <w:t>849</w:t>
      </w:r>
      <w:r w:rsidR="001C6EFA" w:rsidRPr="001B2779">
        <w:rPr>
          <w:sz w:val="72"/>
        </w:rPr>
        <w:t>6</w:t>
      </w:r>
      <w:r w:rsidR="001159AE" w:rsidRPr="001B2779">
        <w:rPr>
          <w:sz w:val="72"/>
        </w:rPr>
        <w:t xml:space="preserve">: </w:t>
      </w:r>
      <w:r w:rsidR="001C6EFA" w:rsidRPr="001B2779">
        <w:rPr>
          <w:sz w:val="72"/>
        </w:rPr>
        <w:t>Computer Forensics</w:t>
      </w:r>
    </w:p>
    <w:p w14:paraId="03611107" w14:textId="77777777" w:rsidR="001159AE" w:rsidRDefault="001159AE" w:rsidP="001159AE">
      <w:pPr>
        <w:pStyle w:val="Heading1"/>
      </w:pPr>
      <w:commentRangeStart w:id="0"/>
      <w:r>
        <w:t>Class Meetings</w:t>
      </w:r>
      <w:commentRangeEnd w:id="0"/>
      <w:r w:rsidR="0020146A">
        <w:rPr>
          <w:rStyle w:val="CommentReference"/>
          <w:rFonts w:asciiTheme="minorHAnsi" w:eastAsiaTheme="minorEastAsia" w:hAnsiTheme="minorHAnsi" w:cstheme="minorBidi"/>
          <w:color w:val="auto"/>
        </w:rPr>
        <w:commentReference w:id="0"/>
      </w:r>
    </w:p>
    <w:p w14:paraId="3DD6FA6E" w14:textId="57F509A3" w:rsidR="001159AE" w:rsidRDefault="001159AE" w:rsidP="001159AE">
      <w:r>
        <w:t>Section</w:t>
      </w:r>
      <w:r w:rsidR="00BC75DC">
        <w:t>s</w:t>
      </w:r>
      <w:r>
        <w:t xml:space="preserve"> </w:t>
      </w:r>
      <w:r w:rsidR="003F506C">
        <w:t>849</w:t>
      </w:r>
      <w:r w:rsidR="001C6EFA">
        <w:t>6</w:t>
      </w:r>
      <w:r w:rsidR="00BC75DC">
        <w:t>-</w:t>
      </w:r>
      <w:r w:rsidR="001C6EFA">
        <w:t>00</w:t>
      </w:r>
      <w:r w:rsidR="00BC75DC">
        <w:t xml:space="preserve">1, </w:t>
      </w:r>
      <w:r w:rsidR="003F506C">
        <w:t>849</w:t>
      </w:r>
      <w:r w:rsidR="001C6EFA">
        <w:t>6</w:t>
      </w:r>
      <w:r w:rsidR="003F506C">
        <w:t>-DL1</w:t>
      </w:r>
      <w:r>
        <w:t xml:space="preserve">: </w:t>
      </w:r>
      <w:r w:rsidR="00D51E40">
        <w:t>Thursday</w:t>
      </w:r>
      <w:r w:rsidR="00BC75DC">
        <w:t xml:space="preserve">, </w:t>
      </w:r>
      <w:r w:rsidR="001C6EFA">
        <w:t>6</w:t>
      </w:r>
      <w:r w:rsidR="00BC75DC">
        <w:t>:</w:t>
      </w:r>
      <w:r w:rsidR="001C6EFA">
        <w:t>1</w:t>
      </w:r>
      <w:r w:rsidR="003F506C">
        <w:t>0</w:t>
      </w:r>
      <w:r w:rsidR="00BC75DC">
        <w:t>-</w:t>
      </w:r>
      <w:r w:rsidR="001C6EFA">
        <w:t>8:50</w:t>
      </w:r>
      <w:r w:rsidR="003F506C">
        <w:t>PM</w:t>
      </w:r>
      <w:r w:rsidR="00BC75DC">
        <w:t xml:space="preserve">, </w:t>
      </w:r>
      <w:r w:rsidR="001C6EFA">
        <w:t xml:space="preserve">CEER </w:t>
      </w:r>
      <w:r w:rsidR="00D51E40">
        <w:t>307</w:t>
      </w:r>
    </w:p>
    <w:p w14:paraId="7B523356" w14:textId="748E5B8E" w:rsidR="001159AE" w:rsidRDefault="001159AE" w:rsidP="001159AE">
      <w:pPr>
        <w:pStyle w:val="Heading1"/>
      </w:pPr>
      <w:commentRangeStart w:id="1"/>
      <w:r>
        <w:t>Instructor</w:t>
      </w:r>
      <w:commentRangeEnd w:id="1"/>
      <w:r w:rsidR="0020146A">
        <w:rPr>
          <w:rStyle w:val="CommentReference"/>
          <w:rFonts w:asciiTheme="minorHAnsi" w:eastAsiaTheme="minorEastAsia" w:hAnsiTheme="minorHAnsi" w:cstheme="minorBidi"/>
          <w:color w:val="auto"/>
        </w:rPr>
        <w:commentReference w:id="1"/>
      </w:r>
    </w:p>
    <w:p w14:paraId="1B88613B" w14:textId="3A9A7BC2" w:rsidR="001159AE" w:rsidRPr="00BC75DC" w:rsidRDefault="00BC75DC" w:rsidP="001159AE">
      <w:pPr>
        <w:rPr>
          <w:b/>
        </w:rPr>
      </w:pPr>
      <w:r w:rsidRPr="00BC75DC">
        <w:rPr>
          <w:b/>
        </w:rPr>
        <w:t>Name: Dr. James Solderitsch</w:t>
      </w:r>
    </w:p>
    <w:p w14:paraId="5A06D8FE" w14:textId="0C1963F6" w:rsidR="001159AE" w:rsidRDefault="00451FF6" w:rsidP="001159AE">
      <w:r>
        <w:t>Office l</w:t>
      </w:r>
      <w:r w:rsidR="00BC75DC">
        <w:t>ocation: Tolentine Hall Rm 404</w:t>
      </w:r>
    </w:p>
    <w:p w14:paraId="53BF69D4" w14:textId="241D68E1" w:rsidR="001159AE" w:rsidRDefault="00C26FCF" w:rsidP="001159AE">
      <w:r>
        <w:t xml:space="preserve">Office </w:t>
      </w:r>
      <w:r w:rsidR="00451FF6">
        <w:t>p</w:t>
      </w:r>
      <w:r w:rsidR="00BC75DC">
        <w:t>hone number: (610) 519-4975</w:t>
      </w:r>
      <w:r>
        <w:t>; Cell phone number: (484) 612-5500</w:t>
      </w:r>
    </w:p>
    <w:p w14:paraId="047EED63" w14:textId="3845130F" w:rsidR="00A34209" w:rsidRDefault="00BC75DC" w:rsidP="001159AE">
      <w:r>
        <w:t>Email: james.j.solderitsch@villanova.edu</w:t>
      </w:r>
    </w:p>
    <w:p w14:paraId="057F9963" w14:textId="77777777" w:rsidR="001159AE" w:rsidRDefault="001159AE" w:rsidP="001159AE">
      <w:pPr>
        <w:pStyle w:val="Heading1"/>
      </w:pPr>
      <w:commentRangeStart w:id="2"/>
      <w:r>
        <w:t>Office Hours</w:t>
      </w:r>
      <w:commentRangeEnd w:id="2"/>
      <w:r w:rsidR="0020146A">
        <w:rPr>
          <w:rStyle w:val="CommentReference"/>
          <w:rFonts w:asciiTheme="minorHAnsi" w:eastAsiaTheme="minorEastAsia" w:hAnsiTheme="minorHAnsi" w:cstheme="minorBidi"/>
          <w:color w:val="auto"/>
        </w:rPr>
        <w:commentReference w:id="2"/>
      </w:r>
    </w:p>
    <w:p w14:paraId="702F2C00" w14:textId="77777777" w:rsidR="00A7044D" w:rsidRDefault="00A7044D" w:rsidP="00A7044D">
      <w:r>
        <w:t>Wednesday</w:t>
      </w:r>
      <w:r w:rsidRPr="00BC75DC">
        <w:t xml:space="preserve">, </w:t>
      </w:r>
      <w:r>
        <w:t>11am-12p</w:t>
      </w:r>
      <w:r w:rsidRPr="00BC75DC">
        <w:t xml:space="preserve">m, </w:t>
      </w:r>
      <w:r>
        <w:t xml:space="preserve">Thursday, 4PM to 5PM; </w:t>
      </w:r>
      <w:r w:rsidRPr="00BC75DC">
        <w:t>other times by appointment</w:t>
      </w:r>
      <w:r>
        <w:t xml:space="preserve"> (Zoom Teleconferencing Enabled)</w:t>
      </w:r>
    </w:p>
    <w:p w14:paraId="6E4F5458" w14:textId="7B6376DE" w:rsidR="00A34209" w:rsidRDefault="0050401F" w:rsidP="00A34209">
      <w:pPr>
        <w:pStyle w:val="Heading1"/>
      </w:pPr>
      <w:commentRangeStart w:id="3"/>
      <w:r>
        <w:t>Course Objectives</w:t>
      </w:r>
      <w:commentRangeEnd w:id="3"/>
      <w:r w:rsidR="0020146A">
        <w:rPr>
          <w:rStyle w:val="CommentReference"/>
          <w:rFonts w:asciiTheme="minorHAnsi" w:eastAsiaTheme="minorEastAsia" w:hAnsiTheme="minorHAnsi" w:cstheme="minorBidi"/>
          <w:color w:val="auto"/>
        </w:rPr>
        <w:commentReference w:id="3"/>
      </w:r>
    </w:p>
    <w:p w14:paraId="62E0896D" w14:textId="45315E54" w:rsidR="002262A3" w:rsidRPr="002262A3" w:rsidRDefault="002262A3" w:rsidP="002262A3">
      <w:pPr>
        <w:autoSpaceDE w:val="0"/>
        <w:autoSpaceDN w:val="0"/>
        <w:adjustRightInd w:val="0"/>
        <w:rPr>
          <w:rFonts w:cs="Arial"/>
          <w:bCs/>
        </w:rPr>
      </w:pPr>
      <w:r>
        <w:rPr>
          <w:rFonts w:cs="Arial"/>
          <w:bCs/>
        </w:rPr>
        <w:t>The main i</w:t>
      </w:r>
      <w:r w:rsidRPr="002262A3">
        <w:rPr>
          <w:rFonts w:cs="Arial"/>
          <w:bCs/>
        </w:rPr>
        <w:t xml:space="preserve">nstructional </w:t>
      </w:r>
      <w:r>
        <w:rPr>
          <w:rFonts w:cs="Arial"/>
          <w:bCs/>
        </w:rPr>
        <w:t>a</w:t>
      </w:r>
      <w:r w:rsidRPr="002262A3">
        <w:rPr>
          <w:rFonts w:cs="Arial"/>
          <w:bCs/>
        </w:rPr>
        <w:t>reas</w:t>
      </w:r>
      <w:r>
        <w:rPr>
          <w:rFonts w:cs="Arial"/>
          <w:bCs/>
        </w:rPr>
        <w:t xml:space="preserve"> that will be covered in this course include:</w:t>
      </w:r>
    </w:p>
    <w:p w14:paraId="5B05067E" w14:textId="5365E2DE" w:rsidR="002262A3" w:rsidRPr="002262A3" w:rsidRDefault="002262A3" w:rsidP="002262A3">
      <w:pPr>
        <w:pStyle w:val="ListParagraph"/>
        <w:numPr>
          <w:ilvl w:val="0"/>
          <w:numId w:val="18"/>
        </w:numPr>
        <w:autoSpaceDE w:val="0"/>
        <w:autoSpaceDN w:val="0"/>
        <w:adjustRightInd w:val="0"/>
        <w:rPr>
          <w:rFonts w:cs="Arial"/>
          <w:bCs/>
        </w:rPr>
      </w:pPr>
      <w:r w:rsidRPr="002262A3">
        <w:rPr>
          <w:rFonts w:cs="Arial"/>
          <w:bCs/>
        </w:rPr>
        <w:t>Digital forensic investigations</w:t>
      </w:r>
    </w:p>
    <w:p w14:paraId="6AD6FF31" w14:textId="06BD435B" w:rsidR="002262A3" w:rsidRPr="002262A3" w:rsidRDefault="002262A3" w:rsidP="002262A3">
      <w:pPr>
        <w:pStyle w:val="ListParagraph"/>
        <w:numPr>
          <w:ilvl w:val="0"/>
          <w:numId w:val="18"/>
        </w:numPr>
        <w:autoSpaceDE w:val="0"/>
        <w:autoSpaceDN w:val="0"/>
        <w:adjustRightInd w:val="0"/>
        <w:rPr>
          <w:rFonts w:cs="Arial"/>
          <w:bCs/>
        </w:rPr>
      </w:pPr>
      <w:r w:rsidRPr="002262A3">
        <w:rPr>
          <w:rFonts w:cs="Arial"/>
          <w:bCs/>
        </w:rPr>
        <w:t>Forensic environments and tools</w:t>
      </w:r>
    </w:p>
    <w:p w14:paraId="5508D876" w14:textId="25CDB255" w:rsidR="002262A3" w:rsidRPr="002262A3" w:rsidRDefault="002262A3" w:rsidP="002262A3">
      <w:pPr>
        <w:pStyle w:val="ListParagraph"/>
        <w:numPr>
          <w:ilvl w:val="0"/>
          <w:numId w:val="18"/>
        </w:numPr>
        <w:autoSpaceDE w:val="0"/>
        <w:autoSpaceDN w:val="0"/>
        <w:adjustRightInd w:val="0"/>
        <w:rPr>
          <w:rFonts w:cs="Arial"/>
          <w:bCs/>
        </w:rPr>
      </w:pPr>
      <w:r w:rsidRPr="002262A3">
        <w:rPr>
          <w:rFonts w:cs="Arial"/>
          <w:bCs/>
        </w:rPr>
        <w:t>Evidence collection and handling</w:t>
      </w:r>
    </w:p>
    <w:p w14:paraId="4F6502CE" w14:textId="5F3F2A2A" w:rsidR="002262A3" w:rsidRPr="002262A3" w:rsidRDefault="002262A3" w:rsidP="002262A3">
      <w:pPr>
        <w:pStyle w:val="ListParagraph"/>
        <w:numPr>
          <w:ilvl w:val="0"/>
          <w:numId w:val="18"/>
        </w:numPr>
        <w:autoSpaceDE w:val="0"/>
        <w:autoSpaceDN w:val="0"/>
        <w:adjustRightInd w:val="0"/>
        <w:rPr>
          <w:rFonts w:cs="Arial"/>
          <w:bCs/>
        </w:rPr>
      </w:pPr>
      <w:r w:rsidRPr="002262A3">
        <w:rPr>
          <w:rFonts w:cs="Arial"/>
          <w:bCs/>
        </w:rPr>
        <w:t>Forensic reporting</w:t>
      </w:r>
    </w:p>
    <w:p w14:paraId="71296DCD" w14:textId="15416B72" w:rsidR="002262A3" w:rsidRPr="002262A3" w:rsidRDefault="002262A3" w:rsidP="002262A3">
      <w:pPr>
        <w:pStyle w:val="ListParagraph"/>
        <w:numPr>
          <w:ilvl w:val="0"/>
          <w:numId w:val="18"/>
        </w:numPr>
        <w:autoSpaceDE w:val="0"/>
        <w:autoSpaceDN w:val="0"/>
        <w:adjustRightInd w:val="0"/>
        <w:rPr>
          <w:rFonts w:cs="Arial"/>
          <w:bCs/>
        </w:rPr>
      </w:pPr>
      <w:r w:rsidRPr="002262A3">
        <w:rPr>
          <w:rFonts w:cs="Arial"/>
          <w:bCs/>
        </w:rPr>
        <w:t>Solving business challenges with forensic investigations</w:t>
      </w:r>
    </w:p>
    <w:p w14:paraId="5D6650ED" w14:textId="09C3B442" w:rsidR="002262A3" w:rsidRPr="002262A3" w:rsidRDefault="002262A3" w:rsidP="002262A3">
      <w:pPr>
        <w:pStyle w:val="ListParagraph"/>
        <w:numPr>
          <w:ilvl w:val="0"/>
          <w:numId w:val="18"/>
        </w:numPr>
        <w:autoSpaceDE w:val="0"/>
        <w:autoSpaceDN w:val="0"/>
        <w:adjustRightInd w:val="0"/>
        <w:rPr>
          <w:rFonts w:cs="Arial"/>
          <w:bCs/>
        </w:rPr>
      </w:pPr>
      <w:r w:rsidRPr="002262A3">
        <w:rPr>
          <w:rFonts w:cs="Arial"/>
          <w:bCs/>
        </w:rPr>
        <w:t>Tactical Digital Forensics and Incident Response (DFIR)</w:t>
      </w:r>
    </w:p>
    <w:p w14:paraId="393B6CE3" w14:textId="78B54683" w:rsidR="002262A3" w:rsidRPr="002262A3" w:rsidRDefault="002262A3" w:rsidP="002262A3">
      <w:pPr>
        <w:autoSpaceDE w:val="0"/>
        <w:autoSpaceDN w:val="0"/>
        <w:adjustRightInd w:val="0"/>
        <w:rPr>
          <w:rFonts w:cs="Arial"/>
          <w:bCs/>
        </w:rPr>
      </w:pPr>
      <w:r>
        <w:rPr>
          <w:rFonts w:cs="Arial"/>
          <w:bCs/>
        </w:rPr>
        <w:t>In covering tactical DFIR, the course will introduce and apply various open source tools and t</w:t>
      </w:r>
      <w:r w:rsidRPr="002262A3">
        <w:rPr>
          <w:rFonts w:cs="Arial"/>
          <w:bCs/>
        </w:rPr>
        <w:t>echniques</w:t>
      </w:r>
      <w:r>
        <w:rPr>
          <w:rFonts w:cs="Arial"/>
          <w:bCs/>
        </w:rPr>
        <w:t>.</w:t>
      </w:r>
    </w:p>
    <w:p w14:paraId="06754BF2" w14:textId="77777777" w:rsidR="002262A3" w:rsidRDefault="002262A3" w:rsidP="00816CFD">
      <w:pPr>
        <w:autoSpaceDE w:val="0"/>
        <w:autoSpaceDN w:val="0"/>
        <w:adjustRightInd w:val="0"/>
        <w:rPr>
          <w:rFonts w:cs="Arial"/>
          <w:bCs/>
        </w:rPr>
      </w:pPr>
      <w:r>
        <w:rPr>
          <w:rFonts w:cs="Arial"/>
          <w:bCs/>
        </w:rPr>
        <w:t>After taking this course, you should be able to:</w:t>
      </w:r>
    </w:p>
    <w:p w14:paraId="24C62FD8" w14:textId="6ACB6FBE" w:rsidR="002262A3" w:rsidRPr="002262A3" w:rsidRDefault="002262A3" w:rsidP="002262A3">
      <w:pPr>
        <w:pStyle w:val="ListParagraph"/>
        <w:numPr>
          <w:ilvl w:val="0"/>
          <w:numId w:val="19"/>
        </w:numPr>
        <w:autoSpaceDE w:val="0"/>
        <w:autoSpaceDN w:val="0"/>
        <w:adjustRightInd w:val="0"/>
        <w:rPr>
          <w:rFonts w:cs="Arial"/>
          <w:bCs/>
        </w:rPr>
      </w:pPr>
      <w:r w:rsidRPr="002262A3">
        <w:rPr>
          <w:rFonts w:cs="Arial"/>
          <w:bCs/>
        </w:rPr>
        <w:t>Summarize the basic principles of computer forensics.</w:t>
      </w:r>
    </w:p>
    <w:p w14:paraId="62262D1C" w14:textId="198ACD5A" w:rsidR="002262A3" w:rsidRPr="002262A3" w:rsidRDefault="002262A3" w:rsidP="002262A3">
      <w:pPr>
        <w:pStyle w:val="ListParagraph"/>
        <w:numPr>
          <w:ilvl w:val="0"/>
          <w:numId w:val="19"/>
        </w:numPr>
        <w:autoSpaceDE w:val="0"/>
        <w:autoSpaceDN w:val="0"/>
        <w:adjustRightInd w:val="0"/>
        <w:rPr>
          <w:rFonts w:cs="Arial"/>
          <w:bCs/>
        </w:rPr>
      </w:pPr>
      <w:r w:rsidRPr="002262A3">
        <w:rPr>
          <w:rFonts w:cs="Arial"/>
          <w:bCs/>
        </w:rPr>
        <w:t>Summarize important laws regarding computer forensics.</w:t>
      </w:r>
    </w:p>
    <w:p w14:paraId="6D9D7B7D" w14:textId="7CF4BCF3" w:rsidR="002262A3" w:rsidRPr="002262A3" w:rsidRDefault="002262A3" w:rsidP="002262A3">
      <w:pPr>
        <w:pStyle w:val="ListParagraph"/>
        <w:numPr>
          <w:ilvl w:val="0"/>
          <w:numId w:val="19"/>
        </w:numPr>
        <w:autoSpaceDE w:val="0"/>
        <w:autoSpaceDN w:val="0"/>
        <w:adjustRightInd w:val="0"/>
        <w:rPr>
          <w:rFonts w:cs="Arial"/>
          <w:bCs/>
        </w:rPr>
      </w:pPr>
      <w:r w:rsidRPr="002262A3">
        <w:rPr>
          <w:rFonts w:cs="Arial"/>
          <w:bCs/>
        </w:rPr>
        <w:t>Describe various computer crimes and how they are investigated.</w:t>
      </w:r>
    </w:p>
    <w:p w14:paraId="4D974EF7" w14:textId="5401AC83" w:rsidR="002262A3" w:rsidRPr="002262A3" w:rsidRDefault="002262A3" w:rsidP="002262A3">
      <w:pPr>
        <w:pStyle w:val="ListParagraph"/>
        <w:numPr>
          <w:ilvl w:val="0"/>
          <w:numId w:val="19"/>
        </w:numPr>
        <w:autoSpaceDE w:val="0"/>
        <w:autoSpaceDN w:val="0"/>
        <w:adjustRightInd w:val="0"/>
        <w:rPr>
          <w:rFonts w:cs="Arial"/>
          <w:bCs/>
        </w:rPr>
      </w:pPr>
      <w:r w:rsidRPr="002262A3">
        <w:rPr>
          <w:rFonts w:cs="Arial"/>
          <w:bCs/>
        </w:rPr>
        <w:t>Describe digital forensic methodology and labs.</w:t>
      </w:r>
    </w:p>
    <w:p w14:paraId="40BD2A94" w14:textId="5F440FB4" w:rsidR="002262A3" w:rsidRPr="002262A3" w:rsidRDefault="002262A3" w:rsidP="002262A3">
      <w:pPr>
        <w:pStyle w:val="ListParagraph"/>
        <w:numPr>
          <w:ilvl w:val="0"/>
          <w:numId w:val="19"/>
        </w:numPr>
        <w:autoSpaceDE w:val="0"/>
        <w:autoSpaceDN w:val="0"/>
        <w:adjustRightInd w:val="0"/>
        <w:rPr>
          <w:rFonts w:cs="Arial"/>
          <w:bCs/>
        </w:rPr>
      </w:pPr>
      <w:r w:rsidRPr="002262A3">
        <w:rPr>
          <w:rFonts w:cs="Arial"/>
          <w:bCs/>
        </w:rPr>
        <w:t>Outline the proper approach to collecting, seizing, and protecting evidence.</w:t>
      </w:r>
    </w:p>
    <w:p w14:paraId="3417493B" w14:textId="511B5EBB" w:rsidR="002262A3" w:rsidRPr="002262A3" w:rsidRDefault="002262A3" w:rsidP="002262A3">
      <w:pPr>
        <w:pStyle w:val="ListParagraph"/>
        <w:numPr>
          <w:ilvl w:val="0"/>
          <w:numId w:val="19"/>
        </w:numPr>
        <w:autoSpaceDE w:val="0"/>
        <w:autoSpaceDN w:val="0"/>
        <w:adjustRightInd w:val="0"/>
        <w:rPr>
          <w:rFonts w:cs="Arial"/>
          <w:bCs/>
        </w:rPr>
      </w:pPr>
      <w:r w:rsidRPr="002262A3">
        <w:rPr>
          <w:rFonts w:cs="Arial"/>
          <w:bCs/>
        </w:rPr>
        <w:t>Explain techniques for hiding and scrambling information as well as how data is recovered.</w:t>
      </w:r>
    </w:p>
    <w:p w14:paraId="7C6131A0" w14:textId="220E0CD1" w:rsidR="002262A3" w:rsidRPr="002262A3" w:rsidRDefault="002262A3" w:rsidP="002262A3">
      <w:pPr>
        <w:pStyle w:val="ListParagraph"/>
        <w:numPr>
          <w:ilvl w:val="0"/>
          <w:numId w:val="19"/>
        </w:numPr>
        <w:autoSpaceDE w:val="0"/>
        <w:autoSpaceDN w:val="0"/>
        <w:adjustRightInd w:val="0"/>
        <w:rPr>
          <w:rFonts w:cs="Arial"/>
          <w:bCs/>
        </w:rPr>
      </w:pPr>
      <w:r w:rsidRPr="002262A3">
        <w:rPr>
          <w:rFonts w:cs="Arial"/>
          <w:bCs/>
        </w:rPr>
        <w:t>Summarize various types of digital forensics.</w:t>
      </w:r>
    </w:p>
    <w:p w14:paraId="37B9B51F" w14:textId="100E8273" w:rsidR="002262A3" w:rsidRPr="002262A3" w:rsidRDefault="002262A3" w:rsidP="002262A3">
      <w:pPr>
        <w:pStyle w:val="ListParagraph"/>
        <w:numPr>
          <w:ilvl w:val="0"/>
          <w:numId w:val="19"/>
        </w:numPr>
        <w:autoSpaceDE w:val="0"/>
        <w:autoSpaceDN w:val="0"/>
        <w:adjustRightInd w:val="0"/>
        <w:rPr>
          <w:rFonts w:cs="Arial"/>
          <w:bCs/>
        </w:rPr>
      </w:pPr>
      <w:r w:rsidRPr="002262A3">
        <w:rPr>
          <w:rFonts w:cs="Arial"/>
          <w:bCs/>
        </w:rPr>
        <w:t>Explain how to perform a network analysis.</w:t>
      </w:r>
    </w:p>
    <w:p w14:paraId="6A66329D" w14:textId="17AF250F" w:rsidR="002262A3" w:rsidRPr="002262A3" w:rsidRDefault="002262A3" w:rsidP="002262A3">
      <w:pPr>
        <w:pStyle w:val="ListParagraph"/>
        <w:numPr>
          <w:ilvl w:val="0"/>
          <w:numId w:val="19"/>
        </w:numPr>
        <w:autoSpaceDE w:val="0"/>
        <w:autoSpaceDN w:val="0"/>
        <w:adjustRightInd w:val="0"/>
        <w:rPr>
          <w:rFonts w:cs="Arial"/>
          <w:bCs/>
        </w:rPr>
      </w:pPr>
      <w:r w:rsidRPr="002262A3">
        <w:rPr>
          <w:rFonts w:cs="Arial"/>
          <w:bCs/>
        </w:rPr>
        <w:t>Describe incident and intrusion response.</w:t>
      </w:r>
    </w:p>
    <w:p w14:paraId="6DB08E65" w14:textId="352D7B87" w:rsidR="002262A3" w:rsidRPr="002262A3" w:rsidRDefault="002262A3" w:rsidP="002262A3">
      <w:pPr>
        <w:pStyle w:val="ListParagraph"/>
        <w:numPr>
          <w:ilvl w:val="0"/>
          <w:numId w:val="19"/>
        </w:numPr>
        <w:autoSpaceDE w:val="0"/>
        <w:autoSpaceDN w:val="0"/>
        <w:adjustRightInd w:val="0"/>
        <w:rPr>
          <w:rFonts w:cs="Arial"/>
          <w:bCs/>
        </w:rPr>
      </w:pPr>
      <w:r w:rsidRPr="002262A3">
        <w:rPr>
          <w:rFonts w:cs="Arial"/>
          <w:bCs/>
        </w:rPr>
        <w:t xml:space="preserve">Identify trends in and resources for digital forensics </w:t>
      </w:r>
    </w:p>
    <w:p w14:paraId="29539EF8" w14:textId="2CE8C409" w:rsidR="002262A3" w:rsidRDefault="002262A3" w:rsidP="002262A3">
      <w:pPr>
        <w:pStyle w:val="ListParagraph"/>
        <w:numPr>
          <w:ilvl w:val="0"/>
          <w:numId w:val="19"/>
        </w:numPr>
        <w:autoSpaceDE w:val="0"/>
        <w:autoSpaceDN w:val="0"/>
        <w:adjustRightInd w:val="0"/>
        <w:rPr>
          <w:rFonts w:cs="Arial"/>
          <w:bCs/>
        </w:rPr>
      </w:pPr>
      <w:r w:rsidRPr="002262A3">
        <w:rPr>
          <w:rFonts w:cs="Arial"/>
          <w:bCs/>
        </w:rPr>
        <w:t>Become familiar with modern methods in tactical DFIR</w:t>
      </w:r>
    </w:p>
    <w:p w14:paraId="1D3B2E2A" w14:textId="49CBF954" w:rsidR="00610395" w:rsidRDefault="00610395" w:rsidP="001B2779">
      <w:pPr>
        <w:autoSpaceDE w:val="0"/>
        <w:autoSpaceDN w:val="0"/>
        <w:adjustRightInd w:val="0"/>
        <w:rPr>
          <w:rFonts w:cs="Arial"/>
          <w:bCs/>
        </w:rPr>
      </w:pPr>
      <w:r>
        <w:rPr>
          <w:rFonts w:cs="Arial"/>
          <w:bCs/>
        </w:rPr>
        <w:t>Class topics for this course include:</w:t>
      </w:r>
    </w:p>
    <w:tbl>
      <w:tblPr>
        <w:tblStyle w:val="TableGrid"/>
        <w:tblW w:w="0" w:type="auto"/>
        <w:tblLook w:val="04A0" w:firstRow="1" w:lastRow="0" w:firstColumn="1" w:lastColumn="0" w:noHBand="0" w:noVBand="1"/>
      </w:tblPr>
      <w:tblGrid>
        <w:gridCol w:w="3116"/>
        <w:gridCol w:w="3117"/>
        <w:gridCol w:w="3117"/>
      </w:tblGrid>
      <w:tr w:rsidR="00605DB2" w:rsidRPr="00605DB2" w14:paraId="646B5958" w14:textId="77777777" w:rsidTr="00605DB2">
        <w:tc>
          <w:tcPr>
            <w:tcW w:w="3116" w:type="dxa"/>
          </w:tcPr>
          <w:p w14:paraId="5BC1D7D6" w14:textId="77777777" w:rsidR="00605DB2" w:rsidRPr="00605DB2" w:rsidRDefault="00605DB2" w:rsidP="001B2779">
            <w:pPr>
              <w:autoSpaceDE w:val="0"/>
              <w:autoSpaceDN w:val="0"/>
              <w:adjustRightInd w:val="0"/>
              <w:rPr>
                <w:rFonts w:cs="Arial"/>
                <w:bCs/>
              </w:rPr>
            </w:pPr>
            <w:r w:rsidRPr="00605DB2">
              <w:rPr>
                <w:rFonts w:cs="Arial"/>
                <w:bCs/>
              </w:rPr>
              <w:t>Anti-forensics</w:t>
            </w:r>
          </w:p>
        </w:tc>
        <w:tc>
          <w:tcPr>
            <w:tcW w:w="3117" w:type="dxa"/>
          </w:tcPr>
          <w:p w14:paraId="36822467" w14:textId="77777777" w:rsidR="00605DB2" w:rsidRPr="00605DB2" w:rsidRDefault="00605DB2" w:rsidP="001B2779">
            <w:pPr>
              <w:autoSpaceDE w:val="0"/>
              <w:autoSpaceDN w:val="0"/>
              <w:adjustRightInd w:val="0"/>
              <w:rPr>
                <w:rFonts w:cs="Arial"/>
                <w:bCs/>
              </w:rPr>
            </w:pPr>
            <w:r w:rsidRPr="00605DB2">
              <w:rPr>
                <w:rFonts w:cs="Arial"/>
                <w:bCs/>
              </w:rPr>
              <w:t>Attacks</w:t>
            </w:r>
          </w:p>
        </w:tc>
        <w:tc>
          <w:tcPr>
            <w:tcW w:w="3117" w:type="dxa"/>
          </w:tcPr>
          <w:p w14:paraId="39BB6054" w14:textId="77777777" w:rsidR="00605DB2" w:rsidRPr="00605DB2" w:rsidRDefault="00605DB2" w:rsidP="001B2779">
            <w:pPr>
              <w:autoSpaceDE w:val="0"/>
              <w:autoSpaceDN w:val="0"/>
              <w:adjustRightInd w:val="0"/>
              <w:rPr>
                <w:rFonts w:cs="Arial"/>
                <w:bCs/>
              </w:rPr>
            </w:pPr>
            <w:r w:rsidRPr="00605DB2">
              <w:rPr>
                <w:rFonts w:cs="Arial"/>
                <w:bCs/>
              </w:rPr>
              <w:t>Chain of Custody</w:t>
            </w:r>
          </w:p>
        </w:tc>
      </w:tr>
      <w:tr w:rsidR="00605DB2" w:rsidRPr="00605DB2" w14:paraId="258A7A46" w14:textId="77777777" w:rsidTr="00605DB2">
        <w:tc>
          <w:tcPr>
            <w:tcW w:w="3116" w:type="dxa"/>
          </w:tcPr>
          <w:p w14:paraId="054F7537" w14:textId="77777777" w:rsidR="00605DB2" w:rsidRPr="00605DB2" w:rsidRDefault="00605DB2" w:rsidP="001B2779">
            <w:pPr>
              <w:autoSpaceDE w:val="0"/>
              <w:autoSpaceDN w:val="0"/>
              <w:adjustRightInd w:val="0"/>
              <w:rPr>
                <w:rFonts w:cs="Arial"/>
                <w:bCs/>
              </w:rPr>
            </w:pPr>
            <w:r w:rsidRPr="00605DB2">
              <w:rPr>
                <w:rFonts w:cs="Arial"/>
                <w:bCs/>
              </w:rPr>
              <w:lastRenderedPageBreak/>
              <w:t>Computer Forensics</w:t>
            </w:r>
          </w:p>
        </w:tc>
        <w:tc>
          <w:tcPr>
            <w:tcW w:w="3117" w:type="dxa"/>
          </w:tcPr>
          <w:p w14:paraId="54507634" w14:textId="77777777" w:rsidR="00605DB2" w:rsidRPr="00605DB2" w:rsidRDefault="00605DB2" w:rsidP="001B2779">
            <w:pPr>
              <w:autoSpaceDE w:val="0"/>
              <w:autoSpaceDN w:val="0"/>
              <w:adjustRightInd w:val="0"/>
              <w:rPr>
                <w:rFonts w:cs="Arial"/>
                <w:bCs/>
              </w:rPr>
            </w:pPr>
            <w:r w:rsidRPr="00605DB2">
              <w:rPr>
                <w:rFonts w:cs="Arial"/>
                <w:bCs/>
              </w:rPr>
              <w:t>Cryptography</w:t>
            </w:r>
          </w:p>
        </w:tc>
        <w:tc>
          <w:tcPr>
            <w:tcW w:w="3117" w:type="dxa"/>
          </w:tcPr>
          <w:p w14:paraId="2DD37DB6" w14:textId="77777777" w:rsidR="00605DB2" w:rsidRPr="00605DB2" w:rsidRDefault="00605DB2" w:rsidP="001B2779">
            <w:pPr>
              <w:autoSpaceDE w:val="0"/>
              <w:autoSpaceDN w:val="0"/>
              <w:adjustRightInd w:val="0"/>
              <w:rPr>
                <w:rFonts w:cs="Arial"/>
                <w:bCs/>
              </w:rPr>
            </w:pPr>
            <w:r w:rsidRPr="00605DB2">
              <w:rPr>
                <w:rFonts w:cs="Arial"/>
                <w:bCs/>
              </w:rPr>
              <w:t>Cybercrime</w:t>
            </w:r>
          </w:p>
        </w:tc>
      </w:tr>
      <w:tr w:rsidR="00605DB2" w:rsidRPr="00605DB2" w14:paraId="0183CD66" w14:textId="77777777" w:rsidTr="00605DB2">
        <w:tc>
          <w:tcPr>
            <w:tcW w:w="3116" w:type="dxa"/>
          </w:tcPr>
          <w:p w14:paraId="4C818A06" w14:textId="77777777" w:rsidR="00605DB2" w:rsidRPr="00605DB2" w:rsidRDefault="00605DB2" w:rsidP="001B2779">
            <w:pPr>
              <w:autoSpaceDE w:val="0"/>
              <w:autoSpaceDN w:val="0"/>
              <w:adjustRightInd w:val="0"/>
              <w:rPr>
                <w:rFonts w:cs="Arial"/>
                <w:bCs/>
              </w:rPr>
            </w:pPr>
            <w:r w:rsidRPr="00605DB2">
              <w:rPr>
                <w:rFonts w:cs="Arial"/>
                <w:bCs/>
              </w:rPr>
              <w:t>Digital Forensics</w:t>
            </w:r>
          </w:p>
        </w:tc>
        <w:tc>
          <w:tcPr>
            <w:tcW w:w="3117" w:type="dxa"/>
          </w:tcPr>
          <w:p w14:paraId="2098E3AB" w14:textId="77777777" w:rsidR="00605DB2" w:rsidRPr="00605DB2" w:rsidRDefault="00605DB2" w:rsidP="001B2779">
            <w:pPr>
              <w:autoSpaceDE w:val="0"/>
              <w:autoSpaceDN w:val="0"/>
              <w:adjustRightInd w:val="0"/>
              <w:rPr>
                <w:rFonts w:cs="Arial"/>
                <w:bCs/>
              </w:rPr>
            </w:pPr>
            <w:r w:rsidRPr="00605DB2">
              <w:rPr>
                <w:rFonts w:cs="Arial"/>
                <w:bCs/>
              </w:rPr>
              <w:t>E-mail Forensics</w:t>
            </w:r>
          </w:p>
        </w:tc>
        <w:tc>
          <w:tcPr>
            <w:tcW w:w="3117" w:type="dxa"/>
          </w:tcPr>
          <w:p w14:paraId="2462E8A5" w14:textId="77777777" w:rsidR="00605DB2" w:rsidRPr="00605DB2" w:rsidRDefault="00605DB2" w:rsidP="001B2779">
            <w:pPr>
              <w:autoSpaceDE w:val="0"/>
              <w:autoSpaceDN w:val="0"/>
              <w:adjustRightInd w:val="0"/>
              <w:rPr>
                <w:rFonts w:cs="Arial"/>
                <w:bCs/>
              </w:rPr>
            </w:pPr>
            <w:r w:rsidRPr="00605DB2">
              <w:rPr>
                <w:rFonts w:cs="Arial"/>
                <w:bCs/>
              </w:rPr>
              <w:t>Evidence</w:t>
            </w:r>
          </w:p>
        </w:tc>
      </w:tr>
      <w:tr w:rsidR="00605DB2" w:rsidRPr="00605DB2" w14:paraId="107E7A59" w14:textId="77777777" w:rsidTr="00605DB2">
        <w:tc>
          <w:tcPr>
            <w:tcW w:w="3116" w:type="dxa"/>
          </w:tcPr>
          <w:p w14:paraId="386B7229" w14:textId="77777777" w:rsidR="00605DB2" w:rsidRPr="00605DB2" w:rsidRDefault="00605DB2" w:rsidP="001B2779">
            <w:pPr>
              <w:autoSpaceDE w:val="0"/>
              <w:autoSpaceDN w:val="0"/>
              <w:adjustRightInd w:val="0"/>
              <w:rPr>
                <w:rFonts w:cs="Arial"/>
                <w:bCs/>
              </w:rPr>
            </w:pPr>
            <w:r w:rsidRPr="00605DB2">
              <w:rPr>
                <w:rFonts w:cs="Arial"/>
                <w:bCs/>
              </w:rPr>
              <w:t>Expert Testimony</w:t>
            </w:r>
          </w:p>
        </w:tc>
        <w:tc>
          <w:tcPr>
            <w:tcW w:w="3117" w:type="dxa"/>
          </w:tcPr>
          <w:p w14:paraId="0D0759E7" w14:textId="77777777" w:rsidR="00605DB2" w:rsidRPr="00605DB2" w:rsidRDefault="00605DB2" w:rsidP="001B2779">
            <w:pPr>
              <w:autoSpaceDE w:val="0"/>
              <w:autoSpaceDN w:val="0"/>
              <w:adjustRightInd w:val="0"/>
              <w:rPr>
                <w:rFonts w:cs="Arial"/>
                <w:bCs/>
              </w:rPr>
            </w:pPr>
            <w:r w:rsidRPr="00605DB2">
              <w:rPr>
                <w:rFonts w:cs="Arial"/>
                <w:bCs/>
              </w:rPr>
              <w:t>Forensic Investigation</w:t>
            </w:r>
          </w:p>
        </w:tc>
        <w:tc>
          <w:tcPr>
            <w:tcW w:w="3117" w:type="dxa"/>
          </w:tcPr>
          <w:p w14:paraId="6E10AB09" w14:textId="77777777" w:rsidR="00605DB2" w:rsidRPr="00605DB2" w:rsidRDefault="00605DB2" w:rsidP="001B2779">
            <w:pPr>
              <w:autoSpaceDE w:val="0"/>
              <w:autoSpaceDN w:val="0"/>
              <w:adjustRightInd w:val="0"/>
              <w:rPr>
                <w:rFonts w:cs="Arial"/>
                <w:bCs/>
              </w:rPr>
            </w:pPr>
            <w:r w:rsidRPr="00605DB2">
              <w:rPr>
                <w:rFonts w:cs="Arial"/>
                <w:bCs/>
              </w:rPr>
              <w:t>Forensics</w:t>
            </w:r>
          </w:p>
        </w:tc>
      </w:tr>
      <w:tr w:rsidR="00605DB2" w:rsidRPr="00605DB2" w14:paraId="436260B5" w14:textId="77777777" w:rsidTr="00605DB2">
        <w:tc>
          <w:tcPr>
            <w:tcW w:w="3116" w:type="dxa"/>
          </w:tcPr>
          <w:p w14:paraId="5F286865" w14:textId="77777777" w:rsidR="00605DB2" w:rsidRPr="00605DB2" w:rsidRDefault="00605DB2" w:rsidP="001B2779">
            <w:pPr>
              <w:autoSpaceDE w:val="0"/>
              <w:autoSpaceDN w:val="0"/>
              <w:adjustRightInd w:val="0"/>
              <w:rPr>
                <w:rFonts w:cs="Arial"/>
                <w:bCs/>
              </w:rPr>
            </w:pPr>
            <w:r w:rsidRPr="00605DB2">
              <w:rPr>
                <w:rFonts w:cs="Arial"/>
                <w:bCs/>
              </w:rPr>
              <w:t>Incident Recovery</w:t>
            </w:r>
          </w:p>
        </w:tc>
        <w:tc>
          <w:tcPr>
            <w:tcW w:w="3117" w:type="dxa"/>
          </w:tcPr>
          <w:p w14:paraId="2C39D025" w14:textId="77777777" w:rsidR="00605DB2" w:rsidRPr="00605DB2" w:rsidRDefault="00605DB2" w:rsidP="001B2779">
            <w:pPr>
              <w:autoSpaceDE w:val="0"/>
              <w:autoSpaceDN w:val="0"/>
              <w:adjustRightInd w:val="0"/>
              <w:rPr>
                <w:rFonts w:cs="Arial"/>
                <w:bCs/>
              </w:rPr>
            </w:pPr>
            <w:r w:rsidRPr="00605DB2">
              <w:rPr>
                <w:rFonts w:cs="Arial"/>
                <w:bCs/>
              </w:rPr>
              <w:t>Incident Response</w:t>
            </w:r>
          </w:p>
        </w:tc>
        <w:tc>
          <w:tcPr>
            <w:tcW w:w="3117" w:type="dxa"/>
          </w:tcPr>
          <w:p w14:paraId="40F2F308" w14:textId="77777777" w:rsidR="00605DB2" w:rsidRPr="00605DB2" w:rsidRDefault="00605DB2" w:rsidP="001B2779">
            <w:pPr>
              <w:autoSpaceDE w:val="0"/>
              <w:autoSpaceDN w:val="0"/>
              <w:adjustRightInd w:val="0"/>
              <w:rPr>
                <w:rFonts w:cs="Arial"/>
                <w:bCs/>
              </w:rPr>
            </w:pPr>
            <w:r w:rsidRPr="00605DB2">
              <w:rPr>
                <w:rFonts w:cs="Arial"/>
                <w:bCs/>
              </w:rPr>
              <w:t>Laws</w:t>
            </w:r>
          </w:p>
        </w:tc>
      </w:tr>
      <w:tr w:rsidR="00605DB2" w:rsidRPr="00605DB2" w14:paraId="6D5E1177" w14:textId="77777777" w:rsidTr="00605DB2">
        <w:tc>
          <w:tcPr>
            <w:tcW w:w="3116" w:type="dxa"/>
          </w:tcPr>
          <w:p w14:paraId="3024E1B0" w14:textId="77777777" w:rsidR="00605DB2" w:rsidRPr="00605DB2" w:rsidRDefault="00605DB2" w:rsidP="001B2779">
            <w:pPr>
              <w:autoSpaceDE w:val="0"/>
              <w:autoSpaceDN w:val="0"/>
              <w:adjustRightInd w:val="0"/>
              <w:rPr>
                <w:rFonts w:cs="Arial"/>
                <w:bCs/>
              </w:rPr>
            </w:pPr>
            <w:r w:rsidRPr="00605DB2">
              <w:rPr>
                <w:rFonts w:cs="Arial"/>
                <w:bCs/>
              </w:rPr>
              <w:t>Linux Forensics</w:t>
            </w:r>
          </w:p>
        </w:tc>
        <w:tc>
          <w:tcPr>
            <w:tcW w:w="3117" w:type="dxa"/>
          </w:tcPr>
          <w:p w14:paraId="11F2DFED" w14:textId="77777777" w:rsidR="00605DB2" w:rsidRPr="00605DB2" w:rsidRDefault="00605DB2" w:rsidP="001B2779">
            <w:pPr>
              <w:autoSpaceDE w:val="0"/>
              <w:autoSpaceDN w:val="0"/>
              <w:adjustRightInd w:val="0"/>
              <w:rPr>
                <w:rFonts w:cs="Arial"/>
                <w:bCs/>
              </w:rPr>
            </w:pPr>
            <w:r w:rsidRPr="00605DB2">
              <w:rPr>
                <w:rFonts w:cs="Arial"/>
                <w:bCs/>
              </w:rPr>
              <w:t>Macintosh Forensics</w:t>
            </w:r>
          </w:p>
        </w:tc>
        <w:tc>
          <w:tcPr>
            <w:tcW w:w="3117" w:type="dxa"/>
          </w:tcPr>
          <w:p w14:paraId="2D854969" w14:textId="77777777" w:rsidR="00605DB2" w:rsidRPr="00605DB2" w:rsidRDefault="00605DB2" w:rsidP="001B2779">
            <w:pPr>
              <w:autoSpaceDE w:val="0"/>
              <w:autoSpaceDN w:val="0"/>
              <w:adjustRightInd w:val="0"/>
              <w:rPr>
                <w:rFonts w:cs="Arial"/>
                <w:bCs/>
              </w:rPr>
            </w:pPr>
            <w:r w:rsidRPr="00605DB2">
              <w:rPr>
                <w:rFonts w:cs="Arial"/>
                <w:bCs/>
              </w:rPr>
              <w:t>Malware</w:t>
            </w:r>
          </w:p>
        </w:tc>
      </w:tr>
      <w:tr w:rsidR="00605DB2" w:rsidRPr="00605DB2" w14:paraId="68FF4C75" w14:textId="77777777" w:rsidTr="00605DB2">
        <w:tc>
          <w:tcPr>
            <w:tcW w:w="3116" w:type="dxa"/>
          </w:tcPr>
          <w:p w14:paraId="4CD0F7A5" w14:textId="77777777" w:rsidR="00605DB2" w:rsidRPr="00605DB2" w:rsidRDefault="00605DB2" w:rsidP="001B2779">
            <w:pPr>
              <w:autoSpaceDE w:val="0"/>
              <w:autoSpaceDN w:val="0"/>
              <w:adjustRightInd w:val="0"/>
              <w:rPr>
                <w:rFonts w:cs="Arial"/>
                <w:bCs/>
              </w:rPr>
            </w:pPr>
            <w:r w:rsidRPr="00605DB2">
              <w:rPr>
                <w:rFonts w:cs="Arial"/>
                <w:bCs/>
              </w:rPr>
              <w:t>Mobile Forensics</w:t>
            </w:r>
          </w:p>
        </w:tc>
        <w:tc>
          <w:tcPr>
            <w:tcW w:w="3117" w:type="dxa"/>
          </w:tcPr>
          <w:p w14:paraId="07B940B3" w14:textId="77777777" w:rsidR="00605DB2" w:rsidRPr="00605DB2" w:rsidRDefault="00605DB2" w:rsidP="001B2779">
            <w:pPr>
              <w:autoSpaceDE w:val="0"/>
              <w:autoSpaceDN w:val="0"/>
              <w:adjustRightInd w:val="0"/>
              <w:rPr>
                <w:rFonts w:cs="Arial"/>
                <w:bCs/>
              </w:rPr>
            </w:pPr>
            <w:r w:rsidRPr="00605DB2">
              <w:rPr>
                <w:rFonts w:cs="Arial"/>
                <w:bCs/>
              </w:rPr>
              <w:t>Network Analysis</w:t>
            </w:r>
          </w:p>
        </w:tc>
        <w:tc>
          <w:tcPr>
            <w:tcW w:w="3117" w:type="dxa"/>
          </w:tcPr>
          <w:p w14:paraId="68F3B8A4" w14:textId="77777777" w:rsidR="00605DB2" w:rsidRPr="00605DB2" w:rsidRDefault="00605DB2" w:rsidP="001B2779">
            <w:pPr>
              <w:autoSpaceDE w:val="0"/>
              <w:autoSpaceDN w:val="0"/>
              <w:adjustRightInd w:val="0"/>
              <w:rPr>
                <w:rFonts w:cs="Arial"/>
                <w:bCs/>
              </w:rPr>
            </w:pPr>
            <w:r w:rsidRPr="00605DB2">
              <w:rPr>
                <w:rFonts w:cs="Arial"/>
                <w:bCs/>
              </w:rPr>
              <w:t>Privacy Laws</w:t>
            </w:r>
          </w:p>
        </w:tc>
      </w:tr>
      <w:tr w:rsidR="00605DB2" w14:paraId="67991CBD" w14:textId="77777777" w:rsidTr="00605DB2">
        <w:tc>
          <w:tcPr>
            <w:tcW w:w="3116" w:type="dxa"/>
          </w:tcPr>
          <w:p w14:paraId="25251F63" w14:textId="77777777" w:rsidR="00605DB2" w:rsidRPr="00605DB2" w:rsidRDefault="00605DB2" w:rsidP="001B2779">
            <w:pPr>
              <w:autoSpaceDE w:val="0"/>
              <w:autoSpaceDN w:val="0"/>
              <w:adjustRightInd w:val="0"/>
              <w:rPr>
                <w:rFonts w:cs="Arial"/>
                <w:bCs/>
              </w:rPr>
            </w:pPr>
            <w:r w:rsidRPr="00605DB2">
              <w:rPr>
                <w:rFonts w:cs="Arial"/>
                <w:bCs/>
              </w:rPr>
              <w:t>Steganography</w:t>
            </w:r>
          </w:p>
        </w:tc>
        <w:tc>
          <w:tcPr>
            <w:tcW w:w="3117" w:type="dxa"/>
          </w:tcPr>
          <w:p w14:paraId="1C31EE9C" w14:textId="77777777" w:rsidR="00605DB2" w:rsidRPr="00605DB2" w:rsidRDefault="00605DB2" w:rsidP="001B2779">
            <w:pPr>
              <w:autoSpaceDE w:val="0"/>
              <w:autoSpaceDN w:val="0"/>
              <w:adjustRightInd w:val="0"/>
              <w:rPr>
                <w:rFonts w:cs="Arial"/>
                <w:bCs/>
              </w:rPr>
            </w:pPr>
            <w:r w:rsidRPr="00605DB2">
              <w:rPr>
                <w:rFonts w:cs="Arial"/>
                <w:bCs/>
              </w:rPr>
              <w:t>System Forensics</w:t>
            </w:r>
          </w:p>
        </w:tc>
        <w:tc>
          <w:tcPr>
            <w:tcW w:w="3117" w:type="dxa"/>
          </w:tcPr>
          <w:p w14:paraId="429BA1C0" w14:textId="77777777" w:rsidR="00605DB2" w:rsidRDefault="00605DB2" w:rsidP="001B2779">
            <w:pPr>
              <w:autoSpaceDE w:val="0"/>
              <w:autoSpaceDN w:val="0"/>
              <w:adjustRightInd w:val="0"/>
              <w:rPr>
                <w:rFonts w:cs="Arial"/>
                <w:bCs/>
              </w:rPr>
            </w:pPr>
            <w:r w:rsidRPr="00605DB2">
              <w:rPr>
                <w:rFonts w:cs="Arial"/>
                <w:bCs/>
              </w:rPr>
              <w:t>Windows Forensics</w:t>
            </w:r>
          </w:p>
        </w:tc>
      </w:tr>
    </w:tbl>
    <w:p w14:paraId="3128DB77" w14:textId="5B5D4E36" w:rsidR="00610395" w:rsidRPr="00610395" w:rsidRDefault="00610395" w:rsidP="00610395">
      <w:pPr>
        <w:autoSpaceDE w:val="0"/>
        <w:autoSpaceDN w:val="0"/>
        <w:adjustRightInd w:val="0"/>
        <w:rPr>
          <w:rFonts w:cs="Arial"/>
          <w:bCs/>
        </w:rPr>
      </w:pPr>
    </w:p>
    <w:p w14:paraId="31D427CC" w14:textId="442D5122" w:rsidR="0050401F" w:rsidRDefault="0050401F" w:rsidP="0050401F">
      <w:pPr>
        <w:pStyle w:val="Heading1"/>
      </w:pPr>
      <w:commentRangeStart w:id="4"/>
      <w:r>
        <w:t>Grading Policy</w:t>
      </w:r>
      <w:commentRangeEnd w:id="4"/>
      <w:r>
        <w:rPr>
          <w:rStyle w:val="CommentReference"/>
          <w:rFonts w:asciiTheme="minorHAnsi" w:eastAsiaTheme="minorEastAsia" w:hAnsiTheme="minorHAnsi" w:cstheme="minorBidi"/>
          <w:color w:val="auto"/>
        </w:rPr>
        <w:commentReference w:id="4"/>
      </w:r>
    </w:p>
    <w:p w14:paraId="1337A45F" w14:textId="7CE18AD5" w:rsidR="0050401F" w:rsidRDefault="0050401F" w:rsidP="0050401F">
      <w:r>
        <w:t xml:space="preserve">Your final grade will be determined </w:t>
      </w:r>
      <w:r w:rsidR="00F06174">
        <w:t xml:space="preserve">based on a </w:t>
      </w:r>
      <w:r w:rsidR="00E226C8">
        <w:t xml:space="preserve">percentage score out of </w:t>
      </w:r>
      <w:r w:rsidR="0081595B">
        <w:t>4</w:t>
      </w:r>
      <w:r w:rsidR="00E226C8">
        <w:t xml:space="preserve">00 points where the points will be based on the following </w:t>
      </w:r>
      <w:r w:rsidR="00833E09">
        <w:t xml:space="preserve">course </w:t>
      </w:r>
      <w:r w:rsidR="00815B17">
        <w:t>activities</w:t>
      </w:r>
      <w:r>
        <w:t>:</w:t>
      </w:r>
    </w:p>
    <w:p w14:paraId="2CA5E1EB" w14:textId="7ACCF661" w:rsidR="000A3007" w:rsidRPr="000A3007" w:rsidRDefault="000A3007" w:rsidP="000A3007">
      <w:pPr>
        <w:pStyle w:val="Heading2"/>
      </w:pPr>
      <w:r w:rsidRPr="000A3007">
        <w:t>Virtual Labs</w:t>
      </w:r>
    </w:p>
    <w:p w14:paraId="72D8C2E5" w14:textId="2DC6BA40" w:rsidR="000A3007" w:rsidRPr="000A3007" w:rsidRDefault="000A3007" w:rsidP="000A3007">
      <w:pPr>
        <w:pStyle w:val="ListParagraph"/>
        <w:numPr>
          <w:ilvl w:val="0"/>
          <w:numId w:val="21"/>
        </w:numPr>
      </w:pPr>
      <w:r w:rsidRPr="000A3007">
        <w:t>All labs required (15) – must have lab access token: acquire ASAP</w:t>
      </w:r>
    </w:p>
    <w:p w14:paraId="00B9B2D2" w14:textId="3BE3FEBE" w:rsidR="000A3007" w:rsidRPr="000A3007" w:rsidRDefault="000A3007" w:rsidP="000A3007">
      <w:pPr>
        <w:pStyle w:val="ListParagraph"/>
        <w:numPr>
          <w:ilvl w:val="0"/>
          <w:numId w:val="21"/>
        </w:numPr>
      </w:pPr>
      <w:r w:rsidRPr="000A3007">
        <w:t>Contributions will be graded based on submitted materials as required per lab</w:t>
      </w:r>
    </w:p>
    <w:p w14:paraId="6F0DDDDB" w14:textId="34B0A287" w:rsidR="000A3007" w:rsidRPr="000A3007" w:rsidRDefault="000A3007" w:rsidP="000A3007">
      <w:pPr>
        <w:pStyle w:val="ListParagraph"/>
        <w:numPr>
          <w:ilvl w:val="0"/>
          <w:numId w:val="21"/>
        </w:numPr>
      </w:pPr>
      <w:r w:rsidRPr="000A3007">
        <w:t>10 points per lab (total points: 150)</w:t>
      </w:r>
    </w:p>
    <w:p w14:paraId="020503EA" w14:textId="236BF31B" w:rsidR="000A3007" w:rsidRPr="000A3007" w:rsidRDefault="000A3007" w:rsidP="000A3007">
      <w:pPr>
        <w:pStyle w:val="Heading2"/>
      </w:pPr>
      <w:r w:rsidRPr="000A3007">
        <w:t xml:space="preserve">Quizzes – </w:t>
      </w:r>
      <w:r w:rsidR="00E079B9">
        <w:t>4</w:t>
      </w:r>
      <w:r w:rsidRPr="000A3007">
        <w:t xml:space="preserve"> over the semester – use as Final Exam preparation</w:t>
      </w:r>
    </w:p>
    <w:p w14:paraId="1573CF7F" w14:textId="3CA44533" w:rsidR="000A3007" w:rsidRPr="000A3007" w:rsidRDefault="000A3007" w:rsidP="000A3007">
      <w:pPr>
        <w:pStyle w:val="ListParagraph"/>
        <w:numPr>
          <w:ilvl w:val="0"/>
          <w:numId w:val="22"/>
        </w:numPr>
      </w:pPr>
      <w:r w:rsidRPr="000A3007">
        <w:t xml:space="preserve">10 points per quiz (total: </w:t>
      </w:r>
      <w:r w:rsidR="00E079B9">
        <w:t>4</w:t>
      </w:r>
      <w:r w:rsidRPr="000A3007">
        <w:t>0 points)</w:t>
      </w:r>
    </w:p>
    <w:p w14:paraId="16EC0A6B" w14:textId="5476C1F7" w:rsidR="000A3007" w:rsidRPr="000A3007" w:rsidRDefault="000A3007" w:rsidP="000A3007">
      <w:pPr>
        <w:pStyle w:val="ListParagraph"/>
        <w:numPr>
          <w:ilvl w:val="0"/>
          <w:numId w:val="22"/>
        </w:numPr>
      </w:pPr>
      <w:r w:rsidRPr="000A3007">
        <w:t>Short answer/multiple choice or one long answer</w:t>
      </w:r>
    </w:p>
    <w:p w14:paraId="785855BA" w14:textId="6AFC0F19" w:rsidR="000A3007" w:rsidRPr="000A3007" w:rsidRDefault="000A3007" w:rsidP="000A3007">
      <w:pPr>
        <w:pStyle w:val="ListParagraph"/>
        <w:numPr>
          <w:ilvl w:val="0"/>
          <w:numId w:val="22"/>
        </w:numPr>
      </w:pPr>
      <w:r w:rsidRPr="000A3007">
        <w:t>Questions from text material and topics covered in class or selected readings</w:t>
      </w:r>
    </w:p>
    <w:p w14:paraId="6FDDBCE0" w14:textId="3D5C998B" w:rsidR="000A3007" w:rsidRPr="000A3007" w:rsidRDefault="000A3007" w:rsidP="000A3007">
      <w:pPr>
        <w:pStyle w:val="Heading2"/>
      </w:pPr>
      <w:r>
        <w:t>Final Exam</w:t>
      </w:r>
    </w:p>
    <w:p w14:paraId="28A3C467" w14:textId="600B8240" w:rsidR="000A3007" w:rsidRPr="000A3007" w:rsidRDefault="000A3007" w:rsidP="000A3007">
      <w:pPr>
        <w:pStyle w:val="ListParagraph"/>
        <w:numPr>
          <w:ilvl w:val="0"/>
          <w:numId w:val="23"/>
        </w:numPr>
      </w:pPr>
      <w:r w:rsidRPr="000A3007">
        <w:t>Conducted through Blackboard</w:t>
      </w:r>
    </w:p>
    <w:p w14:paraId="2DB273F8" w14:textId="3490BE46" w:rsidR="000A3007" w:rsidRPr="000A3007" w:rsidRDefault="000A3007" w:rsidP="000A3007">
      <w:pPr>
        <w:pStyle w:val="ListParagraph"/>
        <w:numPr>
          <w:ilvl w:val="1"/>
          <w:numId w:val="23"/>
        </w:numPr>
      </w:pPr>
      <w:r w:rsidRPr="000A3007">
        <w:t>Comprehensive over semester</w:t>
      </w:r>
    </w:p>
    <w:p w14:paraId="3217AEB0" w14:textId="3A88CF18" w:rsidR="000A3007" w:rsidRPr="000A3007" w:rsidRDefault="000A3007" w:rsidP="000A3007">
      <w:pPr>
        <w:pStyle w:val="ListParagraph"/>
        <w:numPr>
          <w:ilvl w:val="1"/>
          <w:numId w:val="23"/>
        </w:numPr>
      </w:pPr>
      <w:r w:rsidRPr="000A3007">
        <w:t>Short an</w:t>
      </w:r>
      <w:r>
        <w:t xml:space="preserve">swer </w:t>
      </w:r>
      <w:r w:rsidR="00D356E9">
        <w:t>and objective questions</w:t>
      </w:r>
    </w:p>
    <w:p w14:paraId="51955540" w14:textId="14056843" w:rsidR="000A3007" w:rsidRPr="000A3007" w:rsidRDefault="00E079B9" w:rsidP="000A3007">
      <w:pPr>
        <w:pStyle w:val="ListParagraph"/>
        <w:numPr>
          <w:ilvl w:val="0"/>
          <w:numId w:val="23"/>
        </w:numPr>
      </w:pPr>
      <w:r>
        <w:t>8</w:t>
      </w:r>
      <w:r w:rsidR="000A3007" w:rsidRPr="000A3007">
        <w:t>0 points</w:t>
      </w:r>
    </w:p>
    <w:p w14:paraId="68F464BE" w14:textId="2EBD83F9" w:rsidR="000A3007" w:rsidRPr="000A3007" w:rsidRDefault="000A3007" w:rsidP="000A3007">
      <w:pPr>
        <w:pStyle w:val="Heading2"/>
      </w:pPr>
      <w:r w:rsidRPr="000A3007">
        <w:t xml:space="preserve">Research </w:t>
      </w:r>
      <w:r w:rsidR="00D356E9">
        <w:t>Presentation</w:t>
      </w:r>
      <w:r w:rsidRPr="000A3007">
        <w:t xml:space="preserve"> </w:t>
      </w:r>
    </w:p>
    <w:p w14:paraId="12E9FAB6" w14:textId="520A9FB0" w:rsidR="000A3007" w:rsidRDefault="000A3007" w:rsidP="000A3007">
      <w:pPr>
        <w:pStyle w:val="ListParagraph"/>
        <w:numPr>
          <w:ilvl w:val="0"/>
          <w:numId w:val="25"/>
        </w:numPr>
      </w:pPr>
      <w:r w:rsidRPr="000A3007">
        <w:t xml:space="preserve">Course project or research </w:t>
      </w:r>
      <w:r w:rsidR="00D356E9">
        <w:t>presentation</w:t>
      </w:r>
      <w:r w:rsidRPr="000A3007">
        <w:t xml:space="preserve">: </w:t>
      </w:r>
      <w:r w:rsidR="00D356E9">
        <w:t>Expected Focus on</w:t>
      </w:r>
      <w:r w:rsidRPr="000A3007">
        <w:t xml:space="preserve"> Tactical Digital Forensics and Incident Response (DFIR)</w:t>
      </w:r>
    </w:p>
    <w:p w14:paraId="7C9D00F8" w14:textId="5A96B7E2" w:rsidR="0081595B" w:rsidRDefault="0081595B" w:rsidP="000A3007">
      <w:pPr>
        <w:pStyle w:val="ListParagraph"/>
        <w:numPr>
          <w:ilvl w:val="0"/>
          <w:numId w:val="25"/>
        </w:numPr>
      </w:pPr>
      <w:r>
        <w:t>Delivered as VoiceThread submission via Blackboard (details to be provided)</w:t>
      </w:r>
    </w:p>
    <w:p w14:paraId="2B53E998" w14:textId="4D353340" w:rsidR="00D356E9" w:rsidRPr="000A3007" w:rsidRDefault="00D356E9" w:rsidP="000A3007">
      <w:pPr>
        <w:pStyle w:val="ListParagraph"/>
        <w:numPr>
          <w:ilvl w:val="0"/>
          <w:numId w:val="25"/>
        </w:numPr>
      </w:pPr>
      <w:r>
        <w:t>Topic must be approved by instructor</w:t>
      </w:r>
    </w:p>
    <w:p w14:paraId="3543D08B" w14:textId="63BE092B" w:rsidR="000A3007" w:rsidRDefault="00E079B9" w:rsidP="000A3007">
      <w:pPr>
        <w:pStyle w:val="ListParagraph"/>
        <w:numPr>
          <w:ilvl w:val="0"/>
          <w:numId w:val="25"/>
        </w:numPr>
      </w:pPr>
      <w:r>
        <w:t>5</w:t>
      </w:r>
      <w:r w:rsidR="000A3007" w:rsidRPr="000A3007">
        <w:t>0 points</w:t>
      </w:r>
    </w:p>
    <w:p w14:paraId="3FBDA25A" w14:textId="1D6BF7B5" w:rsidR="0081595B" w:rsidRPr="000A3007" w:rsidRDefault="0081595B" w:rsidP="0081595B">
      <w:pPr>
        <w:pStyle w:val="Heading2"/>
      </w:pPr>
      <w:r>
        <w:t>Presentation</w:t>
      </w:r>
      <w:r w:rsidRPr="000A3007">
        <w:t xml:space="preserve"> </w:t>
      </w:r>
      <w:r>
        <w:t>Peer Review</w:t>
      </w:r>
    </w:p>
    <w:p w14:paraId="0C729F4D" w14:textId="52C52FF8" w:rsidR="0081595B" w:rsidRPr="000A3007" w:rsidRDefault="0081595B" w:rsidP="0081595B">
      <w:pPr>
        <w:pStyle w:val="ListParagraph"/>
        <w:numPr>
          <w:ilvl w:val="0"/>
          <w:numId w:val="25"/>
        </w:numPr>
      </w:pPr>
      <w:r w:rsidRPr="0081595B">
        <w:t xml:space="preserve">Peer review of 2 Presentations as VoiceThread comments: </w:t>
      </w:r>
      <w:r>
        <w:t>1</w:t>
      </w:r>
      <w:r w:rsidRPr="0081595B">
        <w:t>0 points (</w:t>
      </w:r>
      <w:r>
        <w:t>5</w:t>
      </w:r>
      <w:r w:rsidRPr="0081595B">
        <w:t xml:space="preserve"> per review) </w:t>
      </w:r>
    </w:p>
    <w:p w14:paraId="05A4265D" w14:textId="46EFBEF5" w:rsidR="000A3007" w:rsidRPr="000A3007" w:rsidRDefault="000A3007" w:rsidP="000A3007">
      <w:pPr>
        <w:pStyle w:val="Heading2"/>
      </w:pPr>
      <w:r w:rsidRPr="000A3007">
        <w:t>Other</w:t>
      </w:r>
    </w:p>
    <w:p w14:paraId="0560644D" w14:textId="3C2FE9D6" w:rsidR="000A3007" w:rsidRPr="000A3007" w:rsidRDefault="000A3007" w:rsidP="000A3007">
      <w:pPr>
        <w:pStyle w:val="ListParagraph"/>
        <w:numPr>
          <w:ilvl w:val="0"/>
          <w:numId w:val="24"/>
        </w:numPr>
      </w:pPr>
      <w:r w:rsidRPr="000A3007">
        <w:t xml:space="preserve">Class Participation on </w:t>
      </w:r>
      <w:proofErr w:type="spellStart"/>
      <w:r w:rsidRPr="000A3007">
        <w:t>Yellowdig</w:t>
      </w:r>
      <w:proofErr w:type="spellEnd"/>
      <w:r w:rsidRPr="000A3007">
        <w:t xml:space="preserve"> site: </w:t>
      </w:r>
      <w:r w:rsidR="00E079B9">
        <w:t>7</w:t>
      </w:r>
      <w:r w:rsidRPr="000A3007">
        <w:t>0 points</w:t>
      </w:r>
    </w:p>
    <w:p w14:paraId="5DF49F62" w14:textId="75BF81E1" w:rsidR="000A3007" w:rsidRPr="000A3007" w:rsidRDefault="000A3007" w:rsidP="000A3007">
      <w:pPr>
        <w:rPr>
          <w:b/>
        </w:rPr>
      </w:pPr>
      <w:r w:rsidRPr="000A3007">
        <w:rPr>
          <w:b/>
        </w:rPr>
        <w:t xml:space="preserve">Total points for course: </w:t>
      </w:r>
      <w:r w:rsidR="0081595B">
        <w:rPr>
          <w:b/>
        </w:rPr>
        <w:t>400</w:t>
      </w:r>
    </w:p>
    <w:p w14:paraId="55AAEC89" w14:textId="4B003BE8" w:rsidR="0050401F" w:rsidRDefault="0050401F" w:rsidP="008179C5">
      <w:pPr>
        <w:keepNext/>
      </w:pPr>
      <w:r>
        <w:lastRenderedPageBreak/>
        <w:t>The scale used to assign letter grades is:</w:t>
      </w:r>
    </w:p>
    <w:tbl>
      <w:tblPr>
        <w:tblStyle w:val="TableGrid"/>
        <w:tblW w:w="0" w:type="auto"/>
        <w:jc w:val="center"/>
        <w:tblLook w:val="04A0" w:firstRow="1" w:lastRow="0" w:firstColumn="1" w:lastColumn="0" w:noHBand="0" w:noVBand="1"/>
      </w:tblPr>
      <w:tblGrid>
        <w:gridCol w:w="1736"/>
        <w:gridCol w:w="1736"/>
        <w:gridCol w:w="1736"/>
        <w:gridCol w:w="1737"/>
      </w:tblGrid>
      <w:tr w:rsidR="0050401F" w14:paraId="4F626A63" w14:textId="77777777" w:rsidTr="00892CFD">
        <w:trPr>
          <w:jc w:val="center"/>
        </w:trPr>
        <w:tc>
          <w:tcPr>
            <w:tcW w:w="1736" w:type="dxa"/>
          </w:tcPr>
          <w:p w14:paraId="098D0D3D" w14:textId="507C6382" w:rsidR="0050401F" w:rsidRDefault="002C66A5" w:rsidP="008179C5">
            <w:pPr>
              <w:keepNext/>
              <w:jc w:val="center"/>
            </w:pPr>
            <w:r>
              <w:t>Letter</w:t>
            </w:r>
            <w:r w:rsidR="0050401F">
              <w:t xml:space="preserve"> Grade</w:t>
            </w:r>
          </w:p>
        </w:tc>
        <w:tc>
          <w:tcPr>
            <w:tcW w:w="1736" w:type="dxa"/>
            <w:tcBorders>
              <w:right w:val="single" w:sz="12" w:space="0" w:color="auto"/>
            </w:tcBorders>
          </w:tcPr>
          <w:p w14:paraId="0341A120" w14:textId="0CC7558A" w:rsidR="0050401F" w:rsidRDefault="002C66A5" w:rsidP="008179C5">
            <w:pPr>
              <w:keepNext/>
              <w:jc w:val="center"/>
            </w:pPr>
            <w:r>
              <w:t>Numerical</w:t>
            </w:r>
            <w:r w:rsidR="0050401F">
              <w:t xml:space="preserve"> Grade</w:t>
            </w:r>
          </w:p>
        </w:tc>
        <w:tc>
          <w:tcPr>
            <w:tcW w:w="1736" w:type="dxa"/>
            <w:tcBorders>
              <w:left w:val="single" w:sz="12" w:space="0" w:color="auto"/>
            </w:tcBorders>
          </w:tcPr>
          <w:p w14:paraId="07CEF270" w14:textId="091AFEC5" w:rsidR="0050401F" w:rsidRDefault="002C66A5" w:rsidP="008179C5">
            <w:pPr>
              <w:keepNext/>
              <w:jc w:val="center"/>
            </w:pPr>
            <w:r>
              <w:t>Letter</w:t>
            </w:r>
            <w:r w:rsidR="0050401F">
              <w:t xml:space="preserve"> Grade</w:t>
            </w:r>
          </w:p>
        </w:tc>
        <w:tc>
          <w:tcPr>
            <w:tcW w:w="1737" w:type="dxa"/>
          </w:tcPr>
          <w:p w14:paraId="293773CE" w14:textId="51E64DF0" w:rsidR="0050401F" w:rsidRDefault="002C66A5" w:rsidP="008179C5">
            <w:pPr>
              <w:keepNext/>
              <w:jc w:val="center"/>
            </w:pPr>
            <w:r>
              <w:t>Numerical</w:t>
            </w:r>
            <w:r w:rsidR="0050401F">
              <w:t xml:space="preserve"> Grade</w:t>
            </w:r>
          </w:p>
        </w:tc>
      </w:tr>
      <w:tr w:rsidR="0050401F" w14:paraId="0DE07566" w14:textId="77777777" w:rsidTr="00892CFD">
        <w:trPr>
          <w:jc w:val="center"/>
        </w:trPr>
        <w:tc>
          <w:tcPr>
            <w:tcW w:w="1736" w:type="dxa"/>
          </w:tcPr>
          <w:p w14:paraId="0D982A47" w14:textId="6F2692ED" w:rsidR="0050401F" w:rsidRDefault="0050401F" w:rsidP="008179C5">
            <w:pPr>
              <w:keepNext/>
            </w:pPr>
            <w:r>
              <w:t>A</w:t>
            </w:r>
          </w:p>
        </w:tc>
        <w:tc>
          <w:tcPr>
            <w:tcW w:w="1736" w:type="dxa"/>
            <w:tcBorders>
              <w:right w:val="single" w:sz="12" w:space="0" w:color="auto"/>
            </w:tcBorders>
          </w:tcPr>
          <w:p w14:paraId="219A9A8B" w14:textId="1B541AB8" w:rsidR="0050401F" w:rsidRDefault="003159AF" w:rsidP="008179C5">
            <w:pPr>
              <w:keepNext/>
            </w:pPr>
            <w:r>
              <w:t>9</w:t>
            </w:r>
            <w:r w:rsidR="009D4DF9">
              <w:t>4</w:t>
            </w:r>
            <w:r w:rsidR="00892CFD">
              <w:t xml:space="preserve"> to 100</w:t>
            </w:r>
          </w:p>
        </w:tc>
        <w:tc>
          <w:tcPr>
            <w:tcW w:w="1736" w:type="dxa"/>
            <w:tcBorders>
              <w:left w:val="single" w:sz="12" w:space="0" w:color="auto"/>
            </w:tcBorders>
          </w:tcPr>
          <w:p w14:paraId="43279B8A" w14:textId="3944B03C" w:rsidR="0050401F" w:rsidRDefault="0050401F" w:rsidP="008179C5">
            <w:pPr>
              <w:keepNext/>
            </w:pPr>
            <w:r>
              <w:t>C</w:t>
            </w:r>
            <w:r w:rsidR="000A3007">
              <w:t>+</w:t>
            </w:r>
          </w:p>
        </w:tc>
        <w:tc>
          <w:tcPr>
            <w:tcW w:w="1737" w:type="dxa"/>
          </w:tcPr>
          <w:p w14:paraId="6186DD30" w14:textId="05CE2F3E" w:rsidR="0050401F" w:rsidRDefault="00892CFD" w:rsidP="008179C5">
            <w:pPr>
              <w:keepNext/>
              <w:jc w:val="center"/>
            </w:pPr>
            <w:r>
              <w:t>7</w:t>
            </w:r>
            <w:r w:rsidR="000A3007">
              <w:t>7</w:t>
            </w:r>
            <w:r>
              <w:t xml:space="preserve"> to 7</w:t>
            </w:r>
            <w:r w:rsidR="000A3007">
              <w:t>9</w:t>
            </w:r>
          </w:p>
        </w:tc>
      </w:tr>
      <w:tr w:rsidR="000A3007" w14:paraId="32062447" w14:textId="77777777" w:rsidTr="00892CFD">
        <w:trPr>
          <w:jc w:val="center"/>
        </w:trPr>
        <w:tc>
          <w:tcPr>
            <w:tcW w:w="1736" w:type="dxa"/>
          </w:tcPr>
          <w:p w14:paraId="7704804D" w14:textId="35DF85D6" w:rsidR="000A3007" w:rsidRDefault="000A3007" w:rsidP="008179C5">
            <w:pPr>
              <w:keepNext/>
            </w:pPr>
            <w:r>
              <w:t>A-</w:t>
            </w:r>
          </w:p>
        </w:tc>
        <w:tc>
          <w:tcPr>
            <w:tcW w:w="1736" w:type="dxa"/>
            <w:tcBorders>
              <w:right w:val="single" w:sz="12" w:space="0" w:color="auto"/>
            </w:tcBorders>
          </w:tcPr>
          <w:p w14:paraId="02BAF74C" w14:textId="69A3020E" w:rsidR="000A3007" w:rsidRDefault="000A3007" w:rsidP="008179C5">
            <w:pPr>
              <w:keepNext/>
            </w:pPr>
            <w:r>
              <w:t>90 to 93</w:t>
            </w:r>
          </w:p>
        </w:tc>
        <w:tc>
          <w:tcPr>
            <w:tcW w:w="1736" w:type="dxa"/>
            <w:tcBorders>
              <w:left w:val="single" w:sz="12" w:space="0" w:color="auto"/>
            </w:tcBorders>
          </w:tcPr>
          <w:p w14:paraId="59ADD2AF" w14:textId="497389BC" w:rsidR="000A3007" w:rsidRDefault="000A3007" w:rsidP="008179C5">
            <w:pPr>
              <w:keepNext/>
            </w:pPr>
            <w:r>
              <w:t>C</w:t>
            </w:r>
          </w:p>
        </w:tc>
        <w:tc>
          <w:tcPr>
            <w:tcW w:w="1737" w:type="dxa"/>
          </w:tcPr>
          <w:p w14:paraId="7C7866A1" w14:textId="3F094BC4" w:rsidR="000A3007" w:rsidRDefault="000A3007" w:rsidP="008179C5">
            <w:pPr>
              <w:keepNext/>
              <w:jc w:val="center"/>
            </w:pPr>
            <w:r>
              <w:t>73 to 76</w:t>
            </w:r>
          </w:p>
        </w:tc>
      </w:tr>
      <w:tr w:rsidR="000A3007" w14:paraId="1526D6E0" w14:textId="77777777" w:rsidTr="00892CFD">
        <w:trPr>
          <w:jc w:val="center"/>
        </w:trPr>
        <w:tc>
          <w:tcPr>
            <w:tcW w:w="1736" w:type="dxa"/>
          </w:tcPr>
          <w:p w14:paraId="30AA7FF3" w14:textId="5B1E2068" w:rsidR="000A3007" w:rsidRDefault="000A3007" w:rsidP="008179C5">
            <w:pPr>
              <w:keepNext/>
            </w:pPr>
            <w:r>
              <w:t>B+</w:t>
            </w:r>
          </w:p>
        </w:tc>
        <w:tc>
          <w:tcPr>
            <w:tcW w:w="1736" w:type="dxa"/>
            <w:tcBorders>
              <w:right w:val="single" w:sz="12" w:space="0" w:color="auto"/>
            </w:tcBorders>
          </w:tcPr>
          <w:p w14:paraId="17FB640C" w14:textId="16F3203D" w:rsidR="000A3007" w:rsidRDefault="000A3007" w:rsidP="008179C5">
            <w:pPr>
              <w:keepNext/>
            </w:pPr>
            <w:r>
              <w:t>87 to 89</w:t>
            </w:r>
          </w:p>
        </w:tc>
        <w:tc>
          <w:tcPr>
            <w:tcW w:w="1736" w:type="dxa"/>
            <w:tcBorders>
              <w:left w:val="single" w:sz="12" w:space="0" w:color="auto"/>
            </w:tcBorders>
          </w:tcPr>
          <w:p w14:paraId="2239E0E0" w14:textId="0D6F10B5" w:rsidR="000A3007" w:rsidRDefault="000A3007" w:rsidP="008179C5">
            <w:pPr>
              <w:keepNext/>
            </w:pPr>
            <w:r>
              <w:t>C-</w:t>
            </w:r>
          </w:p>
        </w:tc>
        <w:tc>
          <w:tcPr>
            <w:tcW w:w="1737" w:type="dxa"/>
          </w:tcPr>
          <w:p w14:paraId="2174B3EA" w14:textId="5C02AA31" w:rsidR="000A3007" w:rsidRDefault="000A3007" w:rsidP="008179C5">
            <w:pPr>
              <w:keepNext/>
              <w:jc w:val="center"/>
            </w:pPr>
            <w:r>
              <w:t>70 to 72</w:t>
            </w:r>
          </w:p>
        </w:tc>
      </w:tr>
      <w:tr w:rsidR="000A3007" w14:paraId="36B52095" w14:textId="77777777" w:rsidTr="00892CFD">
        <w:trPr>
          <w:jc w:val="center"/>
        </w:trPr>
        <w:tc>
          <w:tcPr>
            <w:tcW w:w="1736" w:type="dxa"/>
          </w:tcPr>
          <w:p w14:paraId="0E0E1211" w14:textId="2DCE226E" w:rsidR="000A3007" w:rsidRDefault="000A3007" w:rsidP="008179C5">
            <w:pPr>
              <w:keepNext/>
            </w:pPr>
            <w:r>
              <w:t>B</w:t>
            </w:r>
          </w:p>
        </w:tc>
        <w:tc>
          <w:tcPr>
            <w:tcW w:w="1736" w:type="dxa"/>
            <w:tcBorders>
              <w:right w:val="single" w:sz="12" w:space="0" w:color="auto"/>
            </w:tcBorders>
          </w:tcPr>
          <w:p w14:paraId="4CD7BC9D" w14:textId="08288786" w:rsidR="000A3007" w:rsidRDefault="000A3007" w:rsidP="008179C5">
            <w:pPr>
              <w:keepNext/>
            </w:pPr>
            <w:r>
              <w:t>83 to 86</w:t>
            </w:r>
          </w:p>
        </w:tc>
        <w:tc>
          <w:tcPr>
            <w:tcW w:w="1736" w:type="dxa"/>
            <w:tcBorders>
              <w:left w:val="single" w:sz="12" w:space="0" w:color="auto"/>
            </w:tcBorders>
          </w:tcPr>
          <w:p w14:paraId="0B6BB3D9" w14:textId="6D4801B9" w:rsidR="000A3007" w:rsidRDefault="000A3007" w:rsidP="008179C5">
            <w:pPr>
              <w:keepNext/>
            </w:pPr>
            <w:r>
              <w:t>F</w:t>
            </w:r>
          </w:p>
        </w:tc>
        <w:tc>
          <w:tcPr>
            <w:tcW w:w="1737" w:type="dxa"/>
          </w:tcPr>
          <w:p w14:paraId="3DDF3305" w14:textId="7E7713EF" w:rsidR="000A3007" w:rsidRDefault="000A3007" w:rsidP="008179C5">
            <w:pPr>
              <w:keepNext/>
              <w:jc w:val="center"/>
            </w:pPr>
            <w:r>
              <w:t>Less than 70</w:t>
            </w:r>
          </w:p>
        </w:tc>
      </w:tr>
      <w:tr w:rsidR="000A3007" w14:paraId="18D04DA2" w14:textId="77777777" w:rsidTr="00892CFD">
        <w:trPr>
          <w:jc w:val="center"/>
        </w:trPr>
        <w:tc>
          <w:tcPr>
            <w:tcW w:w="1736" w:type="dxa"/>
          </w:tcPr>
          <w:p w14:paraId="5DAFBED5" w14:textId="580B97F9" w:rsidR="000A3007" w:rsidRDefault="000A3007" w:rsidP="008179C5">
            <w:pPr>
              <w:keepNext/>
            </w:pPr>
            <w:r>
              <w:t>B-</w:t>
            </w:r>
          </w:p>
        </w:tc>
        <w:tc>
          <w:tcPr>
            <w:tcW w:w="1736" w:type="dxa"/>
            <w:tcBorders>
              <w:right w:val="single" w:sz="12" w:space="0" w:color="auto"/>
            </w:tcBorders>
          </w:tcPr>
          <w:p w14:paraId="3A38CEE4" w14:textId="15E3DE79" w:rsidR="000A3007" w:rsidRDefault="000A3007" w:rsidP="008179C5">
            <w:pPr>
              <w:keepNext/>
            </w:pPr>
            <w:r>
              <w:t>80 to 82</w:t>
            </w:r>
          </w:p>
        </w:tc>
        <w:tc>
          <w:tcPr>
            <w:tcW w:w="1736" w:type="dxa"/>
            <w:tcBorders>
              <w:left w:val="single" w:sz="12" w:space="0" w:color="auto"/>
            </w:tcBorders>
          </w:tcPr>
          <w:p w14:paraId="3065CEAE" w14:textId="1BF5FE9C" w:rsidR="000A3007" w:rsidRDefault="000A3007" w:rsidP="008179C5">
            <w:pPr>
              <w:keepNext/>
            </w:pPr>
          </w:p>
        </w:tc>
        <w:tc>
          <w:tcPr>
            <w:tcW w:w="1737" w:type="dxa"/>
          </w:tcPr>
          <w:p w14:paraId="4CB6B87C" w14:textId="06A2507A" w:rsidR="000A3007" w:rsidRDefault="000A3007" w:rsidP="008179C5">
            <w:pPr>
              <w:keepNext/>
              <w:jc w:val="center"/>
            </w:pPr>
          </w:p>
        </w:tc>
      </w:tr>
    </w:tbl>
    <w:p w14:paraId="59549326" w14:textId="77777777" w:rsidR="0050401F" w:rsidRDefault="0050401F" w:rsidP="0050401F"/>
    <w:p w14:paraId="759F80AB" w14:textId="70B4ED6E" w:rsidR="004576A8" w:rsidRDefault="004576A8" w:rsidP="004576A8">
      <w:pPr>
        <w:pStyle w:val="Heading1"/>
      </w:pPr>
      <w:r>
        <w:t>Attendance</w:t>
      </w:r>
    </w:p>
    <w:p w14:paraId="52348E7B" w14:textId="27253E11" w:rsidR="00C91209" w:rsidRPr="00C91209" w:rsidRDefault="00A562DB" w:rsidP="00C91209">
      <w:pPr>
        <w:rPr>
          <w:rFonts w:eastAsia="Times New Roman"/>
          <w:lang w:bidi="en-US"/>
        </w:rPr>
      </w:pPr>
      <w:r>
        <w:rPr>
          <w:rFonts w:eastAsia="Times New Roman"/>
          <w:lang w:bidi="en-US"/>
        </w:rPr>
        <w:t xml:space="preserve">The following </w:t>
      </w:r>
      <w:r w:rsidR="00396FB3">
        <w:rPr>
          <w:rFonts w:eastAsia="Times New Roman"/>
          <w:lang w:bidi="en-US"/>
        </w:rPr>
        <w:t>paragraph on attendance, along with the list of excused absences, comes from the College of Engineering and is a required element of the syllabus</w:t>
      </w:r>
      <w:r w:rsidR="00DB0CE4">
        <w:rPr>
          <w:rFonts w:eastAsia="Times New Roman"/>
          <w:lang w:bidi="en-US"/>
        </w:rPr>
        <w:t>.</w:t>
      </w:r>
    </w:p>
    <w:p w14:paraId="511D6F7B" w14:textId="21C0F430" w:rsidR="004576A8" w:rsidRPr="004576A8" w:rsidRDefault="004576A8" w:rsidP="004576A8">
      <w:pPr>
        <w:rPr>
          <w:rFonts w:eastAsia="Times New Roman"/>
        </w:rPr>
      </w:pPr>
      <w:commentRangeStart w:id="5"/>
      <w:r w:rsidRPr="004576A8">
        <w:rPr>
          <w:rFonts w:eastAsia="Times New Roman"/>
        </w:rPr>
        <w:t>Where possible, students should inform their instructors if they plan to</w:t>
      </w:r>
      <w:r w:rsidR="0025095D">
        <w:rPr>
          <w:rFonts w:eastAsia="Times New Roman"/>
        </w:rPr>
        <w:t xml:space="preserve"> be late or absent from class. </w:t>
      </w:r>
      <w:r w:rsidRPr="004576A8">
        <w:rPr>
          <w:rFonts w:eastAsia="Times New Roman"/>
        </w:rPr>
        <w:t xml:space="preserve">In all cases, students should be prepared to provide documentation to petition for </w:t>
      </w:r>
      <w:r w:rsidRPr="0025095D">
        <w:rPr>
          <w:rFonts w:eastAsia="Times New Roman"/>
          <w:i/>
        </w:rPr>
        <w:t>excused</w:t>
      </w:r>
      <w:r w:rsidRPr="004576A8">
        <w:rPr>
          <w:rFonts w:eastAsia="Times New Roman"/>
        </w:rPr>
        <w:t xml:space="preserve"> absences to the appropriate Associate Dean</w:t>
      </w:r>
      <w:r w:rsidR="0025095D">
        <w:rPr>
          <w:rFonts w:eastAsia="Times New Roman"/>
        </w:rPr>
        <w:t xml:space="preserve">. The form for requesting an </w:t>
      </w:r>
      <w:r w:rsidR="0025095D" w:rsidRPr="0025095D">
        <w:rPr>
          <w:rFonts w:eastAsia="Times New Roman"/>
          <w:i/>
        </w:rPr>
        <w:t>excused</w:t>
      </w:r>
      <w:r w:rsidR="0025095D">
        <w:rPr>
          <w:rFonts w:eastAsia="Times New Roman"/>
        </w:rPr>
        <w:t xml:space="preserve"> absence can be found here (</w:t>
      </w:r>
      <w:hyperlink r:id="rId9" w:history="1">
        <w:r w:rsidR="0025095D" w:rsidRPr="00C05769">
          <w:rPr>
            <w:rStyle w:val="Hyperlink"/>
            <w:rFonts w:eastAsia="Times New Roman"/>
          </w:rPr>
          <w:t>http://www1.villanova.edu/villanova/engineering/resources/policies/forms/studentAbsence.html</w:t>
        </w:r>
      </w:hyperlink>
      <w:r w:rsidR="0025095D">
        <w:rPr>
          <w:rFonts w:eastAsia="Times New Roman"/>
        </w:rPr>
        <w:t xml:space="preserve">). </w:t>
      </w:r>
      <w:r w:rsidRPr="004576A8">
        <w:rPr>
          <w:rFonts w:eastAsia="Times New Roman"/>
        </w:rPr>
        <w:t>Excused absences do not count toward a failure in the c</w:t>
      </w:r>
      <w:r w:rsidR="0025095D">
        <w:rPr>
          <w:rFonts w:eastAsia="Times New Roman"/>
        </w:rPr>
        <w:t>ourse for first year students. </w:t>
      </w:r>
      <w:r w:rsidRPr="004576A8">
        <w:rPr>
          <w:rFonts w:eastAsia="Times New Roman"/>
        </w:rPr>
        <w:t>Absence from class does not release t</w:t>
      </w:r>
      <w:r w:rsidR="0025095D">
        <w:rPr>
          <w:rFonts w:eastAsia="Times New Roman"/>
        </w:rPr>
        <w:t>he student from work assigned. </w:t>
      </w:r>
      <w:r w:rsidRPr="004576A8">
        <w:rPr>
          <w:rFonts w:eastAsia="Times New Roman"/>
        </w:rPr>
        <w:t>Students who miss an in-class obligation (exam, presentation, etc.) due to an excused absence will not be penalized - the instructor may offer a make-up test, arrange an alternative time for a presentation, exempt a student from the assignment, or provide another arrangement.   </w:t>
      </w:r>
    </w:p>
    <w:p w14:paraId="714AA735" w14:textId="77777777" w:rsidR="004576A8" w:rsidRPr="004576A8" w:rsidRDefault="004576A8" w:rsidP="004576A8">
      <w:pPr>
        <w:rPr>
          <w:rFonts w:eastAsia="Times New Roman"/>
        </w:rPr>
      </w:pPr>
      <w:r w:rsidRPr="004576A8">
        <w:rPr>
          <w:rFonts w:eastAsia="Times New Roman"/>
        </w:rPr>
        <w:t>The University’s list of excused absences for all students includes the following:</w:t>
      </w:r>
    </w:p>
    <w:p w14:paraId="57FDA12D" w14:textId="77777777" w:rsidR="004576A8" w:rsidRPr="0025095D" w:rsidRDefault="004576A8" w:rsidP="0025095D">
      <w:pPr>
        <w:pStyle w:val="ListParagraph"/>
        <w:numPr>
          <w:ilvl w:val="0"/>
          <w:numId w:val="13"/>
        </w:numPr>
        <w:rPr>
          <w:rFonts w:eastAsia="Times New Roman"/>
        </w:rPr>
      </w:pPr>
      <w:r w:rsidRPr="0025095D">
        <w:rPr>
          <w:rFonts w:eastAsia="Times New Roman"/>
        </w:rPr>
        <w:t>participation in NCAA athletic competitions</w:t>
      </w:r>
    </w:p>
    <w:p w14:paraId="381D1E2E" w14:textId="77777777" w:rsidR="004576A8" w:rsidRPr="0025095D" w:rsidRDefault="004576A8" w:rsidP="0025095D">
      <w:pPr>
        <w:pStyle w:val="ListParagraph"/>
        <w:numPr>
          <w:ilvl w:val="0"/>
          <w:numId w:val="13"/>
        </w:numPr>
        <w:rPr>
          <w:rFonts w:eastAsia="Times New Roman"/>
        </w:rPr>
      </w:pPr>
      <w:r w:rsidRPr="0025095D">
        <w:rPr>
          <w:rFonts w:eastAsia="Times New Roman"/>
        </w:rPr>
        <w:t>participation in special academic events (e.g., conferences, field trips, project competitions)</w:t>
      </w:r>
    </w:p>
    <w:p w14:paraId="501B9497" w14:textId="77777777" w:rsidR="004576A8" w:rsidRPr="0025095D" w:rsidRDefault="004576A8" w:rsidP="0025095D">
      <w:pPr>
        <w:pStyle w:val="ListParagraph"/>
        <w:numPr>
          <w:ilvl w:val="0"/>
          <w:numId w:val="13"/>
        </w:numPr>
        <w:rPr>
          <w:rFonts w:eastAsia="Times New Roman"/>
        </w:rPr>
      </w:pPr>
      <w:r w:rsidRPr="0025095D">
        <w:rPr>
          <w:rFonts w:eastAsia="Times New Roman"/>
        </w:rPr>
        <w:t>participation in official university business (e.g., student representatives attending meetings related to university governance)</w:t>
      </w:r>
    </w:p>
    <w:p w14:paraId="4D204271" w14:textId="77777777" w:rsidR="004576A8" w:rsidRPr="0025095D" w:rsidRDefault="004576A8" w:rsidP="0025095D">
      <w:pPr>
        <w:pStyle w:val="ListParagraph"/>
        <w:numPr>
          <w:ilvl w:val="0"/>
          <w:numId w:val="13"/>
        </w:numPr>
        <w:rPr>
          <w:rFonts w:eastAsia="Times New Roman"/>
        </w:rPr>
      </w:pPr>
      <w:r w:rsidRPr="0025095D">
        <w:rPr>
          <w:rFonts w:eastAsia="Times New Roman"/>
        </w:rPr>
        <w:t>attendance at significant events involving the immediate family (e.g., funerals, weddings)</w:t>
      </w:r>
    </w:p>
    <w:p w14:paraId="69A1BDDE" w14:textId="77777777" w:rsidR="004576A8" w:rsidRPr="0025095D" w:rsidRDefault="004576A8" w:rsidP="0025095D">
      <w:pPr>
        <w:pStyle w:val="ListParagraph"/>
        <w:numPr>
          <w:ilvl w:val="0"/>
          <w:numId w:val="13"/>
        </w:numPr>
        <w:rPr>
          <w:rFonts w:eastAsia="Times New Roman"/>
        </w:rPr>
      </w:pPr>
      <w:r w:rsidRPr="0025095D">
        <w:rPr>
          <w:rFonts w:eastAsia="Times New Roman"/>
        </w:rPr>
        <w:t>religious holidays - see the University’s policy on Religious Holidays</w:t>
      </w:r>
    </w:p>
    <w:p w14:paraId="7CFDDF29" w14:textId="77777777" w:rsidR="004576A8" w:rsidRPr="0025095D" w:rsidRDefault="004576A8" w:rsidP="0025095D">
      <w:pPr>
        <w:pStyle w:val="ListParagraph"/>
        <w:numPr>
          <w:ilvl w:val="0"/>
          <w:numId w:val="13"/>
        </w:numPr>
        <w:rPr>
          <w:rFonts w:eastAsia="Times New Roman"/>
        </w:rPr>
      </w:pPr>
      <w:r w:rsidRPr="0025095D">
        <w:rPr>
          <w:rFonts w:eastAsia="Times New Roman"/>
        </w:rPr>
        <w:t>college-approved participation in placement activities (e.g., job interviews, graduate school interviews, attending job fairs)</w:t>
      </w:r>
    </w:p>
    <w:p w14:paraId="32672F37" w14:textId="77777777" w:rsidR="004576A8" w:rsidRDefault="004576A8" w:rsidP="0025095D">
      <w:pPr>
        <w:pStyle w:val="ListParagraph"/>
        <w:numPr>
          <w:ilvl w:val="0"/>
          <w:numId w:val="13"/>
        </w:numPr>
        <w:rPr>
          <w:rFonts w:eastAsia="Times New Roman"/>
        </w:rPr>
      </w:pPr>
      <w:r w:rsidRPr="0025095D">
        <w:rPr>
          <w:rFonts w:eastAsia="Times New Roman"/>
        </w:rPr>
        <w:t>documented serious illness or disability (see below how to document)</w:t>
      </w:r>
      <w:commentRangeEnd w:id="5"/>
      <w:r w:rsidR="0025095D">
        <w:rPr>
          <w:rStyle w:val="CommentReference"/>
        </w:rPr>
        <w:commentReference w:id="5"/>
      </w:r>
    </w:p>
    <w:p w14:paraId="5ACACAE5" w14:textId="610B79DE" w:rsidR="00396FB3" w:rsidRDefault="00396FB3" w:rsidP="00396FB3">
      <w:pPr>
        <w:rPr>
          <w:rFonts w:eastAsia="Times New Roman"/>
        </w:rPr>
      </w:pPr>
      <w:r>
        <w:rPr>
          <w:rFonts w:eastAsia="Times New Roman"/>
        </w:rPr>
        <w:t>This course is available as both an in-class section (</w:t>
      </w:r>
      <w:r w:rsidR="00DB7DA0">
        <w:rPr>
          <w:rFonts w:eastAsia="Times New Roman"/>
        </w:rPr>
        <w:t>00</w:t>
      </w:r>
      <w:r>
        <w:rPr>
          <w:rFonts w:eastAsia="Times New Roman"/>
        </w:rPr>
        <w:t xml:space="preserve">1) offered </w:t>
      </w:r>
      <w:r w:rsidR="00DB7DA0">
        <w:rPr>
          <w:rFonts w:eastAsia="Times New Roman"/>
        </w:rPr>
        <w:t xml:space="preserve">in CEER </w:t>
      </w:r>
      <w:r w:rsidR="00F25C7B">
        <w:rPr>
          <w:rFonts w:eastAsia="Times New Roman"/>
        </w:rPr>
        <w:t>307</w:t>
      </w:r>
      <w:r>
        <w:rPr>
          <w:rFonts w:eastAsia="Times New Roman"/>
        </w:rPr>
        <w:t xml:space="preserve"> and as a distance learning section (DL1). DL1 students are encouraged, if their schedule perm</w:t>
      </w:r>
      <w:r w:rsidR="00DB7DA0">
        <w:rPr>
          <w:rFonts w:eastAsia="Times New Roman"/>
        </w:rPr>
        <w:t>its, to attend in person at the regularly scheduled class time</w:t>
      </w:r>
      <w:r>
        <w:rPr>
          <w:rFonts w:eastAsia="Times New Roman"/>
        </w:rPr>
        <w:t xml:space="preserve">. </w:t>
      </w:r>
      <w:r w:rsidR="00DB7DA0">
        <w:rPr>
          <w:rFonts w:eastAsia="Times New Roman"/>
        </w:rPr>
        <w:t>001</w:t>
      </w:r>
      <w:r>
        <w:rPr>
          <w:rFonts w:eastAsia="Times New Roman"/>
        </w:rPr>
        <w:t xml:space="preserve"> students may elect to attend the class remotely just like the DL1 students. However, it is highly recommended that students keep up with the class on a weekly basis. If circumstances, such as a work assignment or illness, cause a student to miss the weekly class, it is expected that an email is sent to the instructor documenting the nature and length of the class disconnect.</w:t>
      </w:r>
      <w:r w:rsidR="006921C9">
        <w:rPr>
          <w:rFonts w:eastAsia="Times New Roman"/>
        </w:rPr>
        <w:t xml:space="preserve"> Assignments will have due dates and normally a student is expected to complete all assignments on or before the posted </w:t>
      </w:r>
      <w:r w:rsidR="00EE7DA7">
        <w:rPr>
          <w:rFonts w:eastAsia="Times New Roman"/>
        </w:rPr>
        <w:t>d</w:t>
      </w:r>
      <w:r w:rsidR="006921C9">
        <w:rPr>
          <w:rFonts w:eastAsia="Times New Roman"/>
        </w:rPr>
        <w:t xml:space="preserve">ue date. </w:t>
      </w:r>
      <w:r w:rsidR="00DB4AB5">
        <w:rPr>
          <w:rFonts w:eastAsia="Times New Roman"/>
        </w:rPr>
        <w:t>Please review the Deadlines section later in this syllabus.</w:t>
      </w:r>
    </w:p>
    <w:p w14:paraId="2C2C3CAD" w14:textId="708C846B" w:rsidR="006921C9" w:rsidRDefault="006921C9" w:rsidP="006921C9">
      <w:pPr>
        <w:rPr>
          <w:rFonts w:eastAsia="Times New Roman"/>
          <w:bCs/>
        </w:rPr>
      </w:pPr>
      <w:r>
        <w:rPr>
          <w:rFonts w:eastAsia="Times New Roman"/>
          <w:bCs/>
        </w:rPr>
        <w:t>Students are expected</w:t>
      </w:r>
      <w:r w:rsidRPr="006921C9">
        <w:rPr>
          <w:rFonts w:eastAsia="Times New Roman"/>
          <w:bCs/>
        </w:rPr>
        <w:t xml:space="preserve"> to </w:t>
      </w:r>
      <w:r>
        <w:rPr>
          <w:rFonts w:eastAsia="Times New Roman"/>
          <w:bCs/>
        </w:rPr>
        <w:t xml:space="preserve">(virtually) </w:t>
      </w:r>
      <w:r w:rsidRPr="006921C9">
        <w:rPr>
          <w:rFonts w:eastAsia="Times New Roman"/>
          <w:bCs/>
        </w:rPr>
        <w:t xml:space="preserve">attend every class. Slides used in class and saved on Blackboard may have some of the material covered, but not all or even most. Students may contribute insightful information during class that you can learn from. </w:t>
      </w:r>
      <w:r w:rsidRPr="006921C9">
        <w:rPr>
          <w:rFonts w:eastAsia="Times New Roman"/>
          <w:b/>
          <w:bCs/>
        </w:rPr>
        <w:t>You are responsible for everything covered in class, regardless of whether the material is addressed in the readings or handouts or on Blackboard.</w:t>
      </w:r>
      <w:r w:rsidRPr="006921C9">
        <w:rPr>
          <w:rFonts w:eastAsia="Times New Roman"/>
          <w:bCs/>
        </w:rPr>
        <w:t xml:space="preserve"> </w:t>
      </w:r>
    </w:p>
    <w:p w14:paraId="1FDBC980" w14:textId="71CC17D7" w:rsidR="00E46046" w:rsidRDefault="00E46046" w:rsidP="00E46046">
      <w:pPr>
        <w:pStyle w:val="Heading1"/>
        <w:rPr>
          <w:rFonts w:eastAsia="Times New Roman"/>
        </w:rPr>
      </w:pPr>
      <w:commentRangeStart w:id="6"/>
      <w:r>
        <w:rPr>
          <w:rFonts w:eastAsia="Times New Roman"/>
        </w:rPr>
        <w:lastRenderedPageBreak/>
        <w:t>Course Materials</w:t>
      </w:r>
      <w:commentRangeEnd w:id="6"/>
      <w:r w:rsidR="0020146A">
        <w:rPr>
          <w:rStyle w:val="CommentReference"/>
          <w:rFonts w:asciiTheme="minorHAnsi" w:eastAsiaTheme="minorEastAsia" w:hAnsiTheme="minorHAnsi" w:cstheme="minorBidi"/>
          <w:color w:val="auto"/>
        </w:rPr>
        <w:commentReference w:id="6"/>
      </w:r>
    </w:p>
    <w:p w14:paraId="7F1643DA" w14:textId="3112B00B" w:rsidR="00CB0A08" w:rsidRDefault="00CB0A08" w:rsidP="00CB0A08">
      <w:r>
        <w:t>There is a text book for this course:</w:t>
      </w:r>
    </w:p>
    <w:p w14:paraId="3A20B3D4" w14:textId="4FFAA1FB" w:rsidR="00CB0A08" w:rsidRDefault="00CB0A08" w:rsidP="00CB0A08">
      <w:proofErr w:type="spellStart"/>
      <w:r w:rsidRPr="00CB0A08">
        <w:t>Easttom</w:t>
      </w:r>
      <w:proofErr w:type="spellEnd"/>
      <w:r w:rsidRPr="00CB0A08">
        <w:t xml:space="preserve">, Chuck. </w:t>
      </w:r>
      <w:r w:rsidRPr="00CB0A08">
        <w:rPr>
          <w:i/>
          <w:iCs/>
        </w:rPr>
        <w:t>System Forensics, Investigation, and Response,</w:t>
      </w:r>
      <w:r w:rsidR="002E3DD2">
        <w:rPr>
          <w:i/>
          <w:iCs/>
        </w:rPr>
        <w:t xml:space="preserve"> </w:t>
      </w:r>
      <w:r>
        <w:rPr>
          <w:i/>
          <w:iCs/>
        </w:rPr>
        <w:t>3rd</w:t>
      </w:r>
      <w:r w:rsidRPr="00CB0A08">
        <w:t xml:space="preserve"> </w:t>
      </w:r>
      <w:r w:rsidR="00C11D89">
        <w:t>Edition</w:t>
      </w:r>
      <w:r w:rsidRPr="00CB0A08">
        <w:t xml:space="preserve">., Burlington, MA: Jones &amp; Bartlett </w:t>
      </w:r>
      <w:proofErr w:type="gramStart"/>
      <w:r w:rsidRPr="00CB0A08">
        <w:t>Learning,  201</w:t>
      </w:r>
      <w:r w:rsidR="00C11D89">
        <w:t>9</w:t>
      </w:r>
      <w:proofErr w:type="gramEnd"/>
      <w:r w:rsidR="00C11D89">
        <w:t>, ISBN: 978-1-284-12184-1</w:t>
      </w:r>
    </w:p>
    <w:p w14:paraId="5D25069A" w14:textId="075935DD" w:rsidR="00C11D89" w:rsidRDefault="00C11D89" w:rsidP="00CB0A08">
      <w:r>
        <w:t>The Virtual Labs are from the InfoSec Security Digital Forensics Fundamentals Lab Sequence.</w:t>
      </w:r>
      <w:r w:rsidR="006340ED">
        <w:t xml:space="preserve"> Information on acquiring a token to access these labs will be provided in class.</w:t>
      </w:r>
    </w:p>
    <w:p w14:paraId="75574C2F" w14:textId="67F559E4" w:rsidR="00CB0A08" w:rsidRPr="00CB0A08" w:rsidRDefault="00C11D89" w:rsidP="00CB0A08">
      <w:r>
        <w:t>In addition, the class will feature numerous resources that will be posted on Blackboard.</w:t>
      </w:r>
    </w:p>
    <w:p w14:paraId="7D5C3D3F" w14:textId="29CA2ACF" w:rsidR="00E46046" w:rsidRDefault="006C422A" w:rsidP="006C422A">
      <w:pPr>
        <w:pStyle w:val="Heading1"/>
      </w:pPr>
      <w:commentRangeStart w:id="7"/>
      <w:r>
        <w:t>Academic Integrity</w:t>
      </w:r>
    </w:p>
    <w:p w14:paraId="2F21D00E" w14:textId="022C12D0" w:rsidR="003D3AA6" w:rsidRDefault="003D3AA6" w:rsidP="003D3AA6">
      <w:r>
        <w:t>The College of Engineering is committed to creating an environment of academic integrity and ethical decision</w:t>
      </w:r>
      <w:r w:rsidRPr="003D3AA6">
        <w:t>-</w:t>
      </w:r>
      <w:r>
        <w:t xml:space="preserve">making that we hope is reflected in the actions of our students and graduates. As Villanova students, integrity is central to </w:t>
      </w:r>
      <w:r>
        <w:rPr>
          <w:color w:val="000000"/>
        </w:rPr>
        <w:t xml:space="preserve">the </w:t>
      </w:r>
      <w:r>
        <w:t>University mission. As engineers, our code of conduct requires us to place honor and integrity at the forefront of everything we do. As engineering students, it is expected that you will begin to adopt these values and instill them into your work habits. Students violating the academic integrity policy will receive a zero on that assignment or exam and the violation will be reported to the Associate Dean for Academic Affairs.</w:t>
      </w:r>
    </w:p>
    <w:p w14:paraId="3860A41A" w14:textId="0E096B14" w:rsidR="003D3AA6" w:rsidRDefault="003D3AA6" w:rsidP="003D3AA6">
      <w:r>
        <w:t xml:space="preserve">The University’s academic integrity policy can be found here:  </w:t>
      </w:r>
      <w:hyperlink r:id="rId10" w:history="1">
        <w:r w:rsidRPr="00961646">
          <w:rPr>
            <w:rStyle w:val="Hyperlink"/>
          </w:rPr>
          <w:t>https://www1.villanova.edu/villanova/provost/resources/student/policies/integrity.html</w:t>
        </w:r>
      </w:hyperlink>
      <w:r>
        <w:t xml:space="preserve">. </w:t>
      </w:r>
    </w:p>
    <w:p w14:paraId="1A5D8980" w14:textId="490EA958" w:rsidR="003D3AA6" w:rsidRDefault="003D3AA6" w:rsidP="003D3AA6">
      <w:r>
        <w:t>The College of Engineering has adopted the following exam guidelines:</w:t>
      </w:r>
    </w:p>
    <w:p w14:paraId="7B4E134C" w14:textId="77777777" w:rsidR="003D3AA6" w:rsidRDefault="003D3AA6" w:rsidP="003D3AA6">
      <w:pPr>
        <w:pStyle w:val="ListParagraph"/>
        <w:numPr>
          <w:ilvl w:val="0"/>
          <w:numId w:val="14"/>
        </w:numPr>
      </w:pPr>
      <w:r>
        <w:t>Students must arrive before the start of the exam.  Under exceptional circumstances a student may need to arrive late, but he/she can enter the exam no later than 5 minutes after the start of the exam.</w:t>
      </w:r>
    </w:p>
    <w:p w14:paraId="2BBEC481" w14:textId="77777777" w:rsidR="003D3AA6" w:rsidRDefault="003D3AA6" w:rsidP="003D3AA6">
      <w:pPr>
        <w:pStyle w:val="ListParagraph"/>
        <w:numPr>
          <w:ilvl w:val="0"/>
          <w:numId w:val="14"/>
        </w:numPr>
      </w:pPr>
      <w:r>
        <w:t>All cell phones must be turned off and stored away until the student exits the exam room.</w:t>
      </w:r>
    </w:p>
    <w:p w14:paraId="11A8B489" w14:textId="77777777" w:rsidR="003D3AA6" w:rsidRDefault="003D3AA6" w:rsidP="003D3AA6">
      <w:pPr>
        <w:pStyle w:val="ListParagraph"/>
        <w:numPr>
          <w:ilvl w:val="0"/>
          <w:numId w:val="14"/>
        </w:numPr>
      </w:pPr>
      <w:r>
        <w:t>The official Villanova class attendance policy must be followed when requesting excuses for absences or lateness to an exam.</w:t>
      </w:r>
    </w:p>
    <w:p w14:paraId="0133582B" w14:textId="442848C4" w:rsidR="006C422A" w:rsidRPr="00EE68A6" w:rsidRDefault="003D3AA6" w:rsidP="003D3AA6">
      <w:pPr>
        <w:pStyle w:val="ListParagraph"/>
        <w:numPr>
          <w:ilvl w:val="0"/>
          <w:numId w:val="14"/>
        </w:numPr>
      </w:pPr>
      <w:r>
        <w:t xml:space="preserve">Each student must </w:t>
      </w:r>
      <w:r w:rsidRPr="003D3AA6">
        <w:rPr>
          <w:u w:val="single"/>
        </w:rPr>
        <w:t>write and sign</w:t>
      </w:r>
      <w:r>
        <w:t xml:space="preserve"> the following statement, “</w:t>
      </w:r>
      <w:r w:rsidRPr="003D3AA6">
        <w:rPr>
          <w:i/>
          <w:iCs/>
        </w:rPr>
        <w:t xml:space="preserve">I have neither given nor received any unauthorized assistance in the completion of this </w:t>
      </w:r>
      <w:commentRangeStart w:id="8"/>
      <w:r w:rsidRPr="003D3AA6">
        <w:rPr>
          <w:i/>
          <w:iCs/>
        </w:rPr>
        <w:t>exam</w:t>
      </w:r>
      <w:commentRangeEnd w:id="8"/>
      <w:r w:rsidR="00EE68A6">
        <w:rPr>
          <w:rStyle w:val="CommentReference"/>
        </w:rPr>
        <w:commentReference w:id="8"/>
      </w:r>
      <w:r w:rsidRPr="003D3AA6">
        <w:rPr>
          <w:i/>
          <w:iCs/>
        </w:rPr>
        <w:t>.”</w:t>
      </w:r>
      <w:commentRangeEnd w:id="7"/>
      <w:r w:rsidR="00EE68A6">
        <w:rPr>
          <w:rStyle w:val="CommentReference"/>
        </w:rPr>
        <w:commentReference w:id="7"/>
      </w:r>
    </w:p>
    <w:p w14:paraId="58E23779" w14:textId="63206AB4" w:rsidR="006921C9" w:rsidRDefault="006921C9" w:rsidP="006921C9">
      <w:r>
        <w:t>The statement given above about exam protocol is meant for in-class exams that will not be part of this course.</w:t>
      </w:r>
    </w:p>
    <w:p w14:paraId="2E58116E" w14:textId="77777777" w:rsidR="008E511A" w:rsidRPr="006921C9" w:rsidRDefault="008E511A" w:rsidP="008E511A">
      <w:pPr>
        <w:pStyle w:val="Heading2"/>
        <w:rPr>
          <w:rFonts w:eastAsia="Times New Roman"/>
        </w:rPr>
      </w:pPr>
      <w:r w:rsidRPr="006921C9">
        <w:rPr>
          <w:rFonts w:eastAsia="Times New Roman"/>
        </w:rPr>
        <w:t>Don't be evil</w:t>
      </w:r>
    </w:p>
    <w:p w14:paraId="5143BA8A" w14:textId="3020CD10" w:rsidR="008E511A" w:rsidRPr="008E511A" w:rsidRDefault="008E511A" w:rsidP="006921C9">
      <w:pPr>
        <w:rPr>
          <w:rFonts w:eastAsia="Times New Roman"/>
          <w:bCs/>
        </w:rPr>
      </w:pPr>
      <w:r w:rsidRPr="006921C9">
        <w:rPr>
          <w:rFonts w:eastAsia="Times New Roman"/>
          <w:bCs/>
        </w:rPr>
        <w:t xml:space="preserve">The knowledge you gain in class is for educational purposes only.  You may gain powers in this class that you are duty </w:t>
      </w:r>
      <w:r w:rsidR="00B23E8F">
        <w:rPr>
          <w:rFonts w:eastAsia="Times New Roman"/>
          <w:bCs/>
        </w:rPr>
        <w:t xml:space="preserve">and honor </w:t>
      </w:r>
      <w:r w:rsidRPr="006921C9">
        <w:rPr>
          <w:rFonts w:eastAsia="Times New Roman"/>
          <w:bCs/>
        </w:rPr>
        <w:t>bound not to misuse. You will promi</w:t>
      </w:r>
      <w:bookmarkStart w:id="9" w:name="_GoBack"/>
      <w:bookmarkEnd w:id="9"/>
      <w:r w:rsidRPr="006921C9">
        <w:rPr>
          <w:rFonts w:eastAsia="Times New Roman"/>
          <w:bCs/>
        </w:rPr>
        <w:t>se not to scope out, attack, subvert or disrupt Villanova ECE, Villanova, corporate, county, US state or federal computer systems. US State and Federal law does not take these things lightly - prison and $10,000s of fines. Foreign students will probably lose their visa and be deported. Be careful with what you do and where and how you do it.</w:t>
      </w:r>
    </w:p>
    <w:p w14:paraId="1CE3FF09" w14:textId="48F2FCD1" w:rsidR="00EE68A6" w:rsidRDefault="00EE68A6" w:rsidP="00EE68A6">
      <w:pPr>
        <w:pStyle w:val="Heading1"/>
      </w:pPr>
      <w:commentRangeStart w:id="10"/>
      <w:r>
        <w:t>Students with Disabilities</w:t>
      </w:r>
    </w:p>
    <w:p w14:paraId="0CC235C5" w14:textId="77777777" w:rsidR="00377D8C" w:rsidRDefault="00EE68A6" w:rsidP="00EE68A6">
      <w:pPr>
        <w:rPr>
          <w:shd w:val="clear" w:color="auto" w:fill="FFFFFF"/>
        </w:rPr>
      </w:pPr>
      <w:r w:rsidRPr="00EE68A6">
        <w:rPr>
          <w:shd w:val="clear" w:color="auto" w:fill="FFFFFF"/>
        </w:rPr>
        <w:t>It is the policy of Villanova to make reasonable academic accommodations for qualified individuals with disabilities. If you are a person with a disability please contact me after class or during office hours</w:t>
      </w:r>
      <w:r w:rsidR="00377D8C">
        <w:rPr>
          <w:shd w:val="clear" w:color="auto" w:fill="FFFFFF"/>
        </w:rPr>
        <w:t xml:space="preserve"> to </w:t>
      </w:r>
      <w:proofErr w:type="gramStart"/>
      <w:r w:rsidR="00377D8C">
        <w:rPr>
          <w:shd w:val="clear" w:color="auto" w:fill="FFFFFF"/>
        </w:rPr>
        <w:t>make arrangements</w:t>
      </w:r>
      <w:proofErr w:type="gramEnd"/>
      <w:r w:rsidR="00377D8C">
        <w:rPr>
          <w:shd w:val="clear" w:color="auto" w:fill="FFFFFF"/>
        </w:rPr>
        <w:t xml:space="preserve">. </w:t>
      </w:r>
    </w:p>
    <w:p w14:paraId="71BBB3F0" w14:textId="11958E5A" w:rsidR="00EE68A6" w:rsidRDefault="00377D8C" w:rsidP="00EE68A6">
      <w:pPr>
        <w:rPr>
          <w:shd w:val="clear" w:color="auto" w:fill="FFFFFF"/>
        </w:rPr>
      </w:pPr>
      <w:r>
        <w:rPr>
          <w:shd w:val="clear" w:color="auto" w:fill="FFFFFF"/>
        </w:rPr>
        <w:lastRenderedPageBreak/>
        <w:t>If you have a non-physical disability you need to</w:t>
      </w:r>
      <w:r w:rsidR="00EE68A6" w:rsidRPr="00EE68A6">
        <w:rPr>
          <w:shd w:val="clear" w:color="auto" w:fill="FFFFFF"/>
        </w:rPr>
        <w:t xml:space="preserve"> register with the Learning Support Office by contacting 610-519-5176 or at </w:t>
      </w:r>
      <w:hyperlink r:id="rId11" w:history="1">
        <w:r w:rsidR="00EE68A6" w:rsidRPr="00961646">
          <w:rPr>
            <w:rStyle w:val="Hyperlink"/>
            <w:shd w:val="clear" w:color="auto" w:fill="FFFFFF"/>
          </w:rPr>
          <w:t>learning.support.services@villanova.edu</w:t>
        </w:r>
      </w:hyperlink>
      <w:r w:rsidR="00EE68A6" w:rsidRPr="00EE68A6">
        <w:rPr>
          <w:shd w:val="clear" w:color="auto" w:fill="FFFFFF"/>
        </w:rPr>
        <w:t xml:space="preserve"> as soon as possible. </w:t>
      </w:r>
      <w:r w:rsidR="00EE68A6">
        <w:rPr>
          <w:shd w:val="clear" w:color="auto" w:fill="FFFFFF"/>
        </w:rPr>
        <w:t xml:space="preserve">Registration is needed </w:t>
      </w:r>
      <w:r w:rsidR="00EE68A6" w:rsidRPr="00EE68A6">
        <w:rPr>
          <w:shd w:val="clear" w:color="auto" w:fill="FFFFFF"/>
        </w:rPr>
        <w:t>to receive accommodations.</w:t>
      </w:r>
      <w:r>
        <w:rPr>
          <w:shd w:val="clear" w:color="auto" w:fill="FFFFFF"/>
        </w:rPr>
        <w:t xml:space="preserve"> </w:t>
      </w:r>
    </w:p>
    <w:p w14:paraId="3182C69F" w14:textId="4825F5A4" w:rsidR="00377D8C" w:rsidRDefault="00377D8C" w:rsidP="00EE68A6">
      <w:r>
        <w:t>The Office of Disability Services collaborates with students, faculty, staff, and community members to create diverse learning environments that are usable, equitable, inclusive and sustainable. The ODS provides Villanova University students with</w:t>
      </w:r>
      <w:r w:rsidRPr="00377D8C">
        <w:t xml:space="preserve"> </w:t>
      </w:r>
      <w:r w:rsidRPr="00377D8C">
        <w:rPr>
          <w:iCs/>
        </w:rPr>
        <w:t>physical</w:t>
      </w:r>
      <w:r w:rsidRPr="00377D8C">
        <w:t xml:space="preserve"> d</w:t>
      </w:r>
      <w:r>
        <w:t xml:space="preserve">isabilities the necessary support to successfully complete their education and participate in activities available to all students. If you have a diagnosed disability and plan to utilize academic accommodations, please contact </w:t>
      </w:r>
      <w:r w:rsidR="006E11D5">
        <w:t xml:space="preserve">and register with </w:t>
      </w:r>
      <w:r>
        <w:t>Gregory Hannah, advisor to students with disabilities @ 610-519-3209 or visit the office on the second floor of the Connelly Center.</w:t>
      </w:r>
      <w:commentRangeEnd w:id="10"/>
      <w:r>
        <w:rPr>
          <w:rStyle w:val="CommentReference"/>
        </w:rPr>
        <w:commentReference w:id="10"/>
      </w:r>
    </w:p>
    <w:p w14:paraId="6ADED4EA" w14:textId="34C8F2F4" w:rsidR="0020146A" w:rsidRDefault="0020146A" w:rsidP="0020146A">
      <w:pPr>
        <w:pStyle w:val="Heading1"/>
        <w:rPr>
          <w:shd w:val="clear" w:color="auto" w:fill="FFFFFF"/>
        </w:rPr>
      </w:pPr>
      <w:r>
        <w:rPr>
          <w:shd w:val="clear" w:color="auto" w:fill="FFFFFF"/>
        </w:rPr>
        <w:t>Schedule</w:t>
      </w:r>
    </w:p>
    <w:p w14:paraId="3E0E1A3C" w14:textId="5E262A64" w:rsidR="00945520" w:rsidRPr="00945520" w:rsidRDefault="00945520" w:rsidP="00945520">
      <w:pPr>
        <w:rPr>
          <w:lang w:bidi="en-US"/>
        </w:rPr>
      </w:pPr>
      <w:r w:rsidRPr="00945520">
        <w:rPr>
          <w:lang w:bidi="en-US"/>
        </w:rPr>
        <w:t xml:space="preserve">The following calendar of the course is tentative.  </w:t>
      </w:r>
      <w:r w:rsidR="009C1656">
        <w:rPr>
          <w:lang w:bidi="en-US"/>
        </w:rPr>
        <w:t xml:space="preserve">The first 8 weeks will </w:t>
      </w:r>
      <w:r w:rsidR="00E920F0">
        <w:rPr>
          <w:lang w:bidi="en-US"/>
        </w:rPr>
        <w:t>emphasize</w:t>
      </w:r>
      <w:r w:rsidR="009C1656">
        <w:rPr>
          <w:lang w:bidi="en-US"/>
        </w:rPr>
        <w:t xml:space="preserve"> material drawn from the class text. Subsequent weeks will not cover text-based material at all, allowing more time to focus on tactical Digital Forensics and Incident Response.</w:t>
      </w:r>
      <w:r w:rsidR="007B4215">
        <w:rPr>
          <w:lang w:bidi="en-US"/>
        </w:rPr>
        <w:t xml:space="preserve"> Thursday, April </w:t>
      </w:r>
      <w:r w:rsidR="00FA4079">
        <w:rPr>
          <w:lang w:bidi="en-US"/>
        </w:rPr>
        <w:t>9</w:t>
      </w:r>
      <w:r w:rsidR="007B4215">
        <w:rPr>
          <w:lang w:bidi="en-US"/>
        </w:rPr>
        <w:t xml:space="preserve"> is </w:t>
      </w:r>
      <w:r w:rsidR="00CF40BE">
        <w:rPr>
          <w:lang w:bidi="en-US"/>
        </w:rPr>
        <w:t>NOT</w:t>
      </w:r>
      <w:r w:rsidR="007B4215">
        <w:rPr>
          <w:lang w:bidi="en-US"/>
        </w:rPr>
        <w:t xml:space="preserve"> a class day.</w:t>
      </w:r>
    </w:p>
    <w:p w14:paraId="3845A3C2" w14:textId="75AADCC7" w:rsidR="00945520" w:rsidRPr="00945520" w:rsidRDefault="00945520" w:rsidP="00945520">
      <w:pPr>
        <w:rPr>
          <w:b/>
          <w:lang w:bidi="en-US"/>
        </w:rPr>
      </w:pPr>
      <w:r w:rsidRPr="00945520">
        <w:rPr>
          <w:b/>
          <w:lang w:bidi="en-US"/>
        </w:rPr>
        <w:t xml:space="preserve">DATES </w:t>
      </w:r>
      <w:r w:rsidR="00DB4AB5">
        <w:rPr>
          <w:b/>
          <w:lang w:bidi="en-US"/>
        </w:rPr>
        <w:t xml:space="preserve">AND TOPICS </w:t>
      </w:r>
      <w:r w:rsidRPr="00945520">
        <w:rPr>
          <w:b/>
          <w:lang w:bidi="en-US"/>
        </w:rPr>
        <w:t>ARE SUBJECT TO CHANGE</w:t>
      </w:r>
    </w:p>
    <w:tbl>
      <w:tblPr>
        <w:tblW w:w="0" w:type="auto"/>
        <w:tblBorders>
          <w:top w:val="single" w:sz="8" w:space="0" w:color="4BACC6"/>
          <w:bottom w:val="single" w:sz="8" w:space="0" w:color="4BACC6"/>
        </w:tblBorders>
        <w:tblLook w:val="0600" w:firstRow="0" w:lastRow="0" w:firstColumn="0" w:lastColumn="0" w:noHBand="1" w:noVBand="1"/>
      </w:tblPr>
      <w:tblGrid>
        <w:gridCol w:w="3183"/>
        <w:gridCol w:w="5457"/>
      </w:tblGrid>
      <w:tr w:rsidR="00945520" w:rsidRPr="00945520" w14:paraId="1592D925" w14:textId="77777777" w:rsidTr="00FA4079">
        <w:tc>
          <w:tcPr>
            <w:tcW w:w="3183" w:type="dxa"/>
            <w:tcBorders>
              <w:top w:val="single" w:sz="8" w:space="0" w:color="4472C4" w:themeColor="accent5"/>
              <w:left w:val="nil"/>
              <w:bottom w:val="nil"/>
              <w:right w:val="nil"/>
            </w:tcBorders>
          </w:tcPr>
          <w:p w14:paraId="62A81EBE" w14:textId="525637CF" w:rsidR="00945520" w:rsidRPr="00945520" w:rsidRDefault="00945520" w:rsidP="00E35CB1">
            <w:pPr>
              <w:rPr>
                <w:b/>
                <w:bCs/>
                <w:lang w:bidi="en-US"/>
              </w:rPr>
            </w:pPr>
            <w:r w:rsidRPr="00945520">
              <w:rPr>
                <w:b/>
                <w:bCs/>
                <w:lang w:bidi="en-US"/>
              </w:rPr>
              <w:t>January 1</w:t>
            </w:r>
            <w:r w:rsidR="00866F43">
              <w:rPr>
                <w:b/>
                <w:bCs/>
                <w:lang w:bidi="en-US"/>
              </w:rPr>
              <w:t>6</w:t>
            </w:r>
            <w:r w:rsidRPr="00945520">
              <w:rPr>
                <w:b/>
                <w:bCs/>
                <w:lang w:bidi="en-US"/>
              </w:rPr>
              <w:t>:</w:t>
            </w:r>
          </w:p>
        </w:tc>
        <w:tc>
          <w:tcPr>
            <w:tcW w:w="5457" w:type="dxa"/>
            <w:tcBorders>
              <w:top w:val="single" w:sz="8" w:space="0" w:color="4472C4" w:themeColor="accent5"/>
              <w:left w:val="nil"/>
              <w:bottom w:val="nil"/>
              <w:right w:val="nil"/>
            </w:tcBorders>
          </w:tcPr>
          <w:p w14:paraId="66B053FC" w14:textId="396126CB" w:rsidR="00945520" w:rsidRPr="00945520" w:rsidRDefault="00945520" w:rsidP="00E920F0">
            <w:pPr>
              <w:rPr>
                <w:bCs/>
                <w:lang w:bidi="en-US"/>
              </w:rPr>
            </w:pPr>
            <w:r w:rsidRPr="00945520">
              <w:rPr>
                <w:bCs/>
                <w:lang w:bidi="en-US"/>
              </w:rPr>
              <w:t>Overview of Course</w:t>
            </w:r>
            <w:r w:rsidR="00D90BB4">
              <w:rPr>
                <w:bCs/>
                <w:lang w:bidi="en-US"/>
              </w:rPr>
              <w:t>;</w:t>
            </w:r>
            <w:r w:rsidRPr="00945520">
              <w:rPr>
                <w:bCs/>
                <w:lang w:bidi="en-US"/>
              </w:rPr>
              <w:t xml:space="preserve"> </w:t>
            </w:r>
            <w:r w:rsidR="009C1656">
              <w:rPr>
                <w:bCs/>
                <w:lang w:bidi="en-US"/>
              </w:rPr>
              <w:t xml:space="preserve">Lab access and expectations; </w:t>
            </w:r>
            <w:r w:rsidR="00E920F0" w:rsidRPr="00B55F6B">
              <w:rPr>
                <w:bCs/>
                <w:i/>
                <w:lang w:bidi="en-US"/>
              </w:rPr>
              <w:t>Lab 1</w:t>
            </w:r>
            <w:r w:rsidR="00E920F0">
              <w:rPr>
                <w:bCs/>
                <w:lang w:bidi="en-US"/>
              </w:rPr>
              <w:t xml:space="preserve">; </w:t>
            </w:r>
            <w:r w:rsidR="009C1656">
              <w:rPr>
                <w:bCs/>
                <w:lang w:bidi="en-US"/>
              </w:rPr>
              <w:t xml:space="preserve">Introduction to Forensics </w:t>
            </w:r>
            <w:r w:rsidR="00E920F0">
              <w:rPr>
                <w:bCs/>
                <w:lang w:bidi="en-US"/>
              </w:rPr>
              <w:t>(</w:t>
            </w:r>
            <w:proofErr w:type="spellStart"/>
            <w:r w:rsidR="00E920F0">
              <w:rPr>
                <w:bCs/>
                <w:lang w:bidi="en-US"/>
              </w:rPr>
              <w:t>ch</w:t>
            </w:r>
            <w:proofErr w:type="spellEnd"/>
            <w:r w:rsidR="00E920F0">
              <w:rPr>
                <w:bCs/>
                <w:lang w:bidi="en-US"/>
              </w:rPr>
              <w:t xml:space="preserve"> 1); </w:t>
            </w:r>
            <w:r w:rsidR="009C1656">
              <w:rPr>
                <w:bCs/>
                <w:lang w:bidi="en-US"/>
              </w:rPr>
              <w:t>Overview of Computer Crime</w:t>
            </w:r>
            <w:r w:rsidR="00E920F0">
              <w:rPr>
                <w:bCs/>
                <w:lang w:bidi="en-US"/>
              </w:rPr>
              <w:t xml:space="preserve"> (</w:t>
            </w:r>
            <w:proofErr w:type="spellStart"/>
            <w:r w:rsidR="00E920F0">
              <w:rPr>
                <w:bCs/>
                <w:lang w:bidi="en-US"/>
              </w:rPr>
              <w:t>ch</w:t>
            </w:r>
            <w:proofErr w:type="spellEnd"/>
            <w:r w:rsidR="00E920F0">
              <w:rPr>
                <w:bCs/>
                <w:lang w:bidi="en-US"/>
              </w:rPr>
              <w:t xml:space="preserve"> 2)</w:t>
            </w:r>
          </w:p>
        </w:tc>
      </w:tr>
      <w:tr w:rsidR="00945520" w:rsidRPr="00945520" w14:paraId="7EA431B2" w14:textId="77777777" w:rsidTr="00FA4079">
        <w:tc>
          <w:tcPr>
            <w:tcW w:w="3183" w:type="dxa"/>
            <w:tcBorders>
              <w:top w:val="nil"/>
              <w:left w:val="nil"/>
              <w:bottom w:val="nil"/>
              <w:right w:val="nil"/>
            </w:tcBorders>
            <w:shd w:val="clear" w:color="auto" w:fill="BDD6EE" w:themeFill="accent1" w:themeFillTint="66"/>
          </w:tcPr>
          <w:p w14:paraId="3DA117D0" w14:textId="52088771" w:rsidR="00945520" w:rsidRPr="00945520" w:rsidRDefault="00945520" w:rsidP="00E35CB1">
            <w:pPr>
              <w:rPr>
                <w:b/>
                <w:bCs/>
                <w:lang w:bidi="en-US"/>
              </w:rPr>
            </w:pPr>
            <w:r w:rsidRPr="00945520">
              <w:rPr>
                <w:b/>
                <w:bCs/>
                <w:lang w:bidi="en-US"/>
              </w:rPr>
              <w:t xml:space="preserve">January </w:t>
            </w:r>
            <w:r>
              <w:rPr>
                <w:b/>
                <w:bCs/>
                <w:lang w:bidi="en-US"/>
              </w:rPr>
              <w:t>2</w:t>
            </w:r>
            <w:r w:rsidR="00866F43">
              <w:rPr>
                <w:b/>
                <w:bCs/>
                <w:lang w:bidi="en-US"/>
              </w:rPr>
              <w:t>3</w:t>
            </w:r>
            <w:r w:rsidRPr="00945520">
              <w:rPr>
                <w:b/>
                <w:bCs/>
                <w:lang w:bidi="en-US"/>
              </w:rPr>
              <w:t>:</w:t>
            </w:r>
          </w:p>
        </w:tc>
        <w:tc>
          <w:tcPr>
            <w:tcW w:w="5457" w:type="dxa"/>
            <w:tcBorders>
              <w:top w:val="nil"/>
              <w:left w:val="nil"/>
              <w:bottom w:val="nil"/>
              <w:right w:val="nil"/>
            </w:tcBorders>
            <w:shd w:val="clear" w:color="auto" w:fill="BDD6EE" w:themeFill="accent1" w:themeFillTint="66"/>
          </w:tcPr>
          <w:p w14:paraId="681B6951" w14:textId="5F1A1AC7" w:rsidR="00945520" w:rsidRPr="00945520" w:rsidRDefault="00E920F0" w:rsidP="00D90BB4">
            <w:pPr>
              <w:rPr>
                <w:lang w:bidi="en-US"/>
              </w:rPr>
            </w:pPr>
            <w:r>
              <w:rPr>
                <w:lang w:bidi="en-US"/>
              </w:rPr>
              <w:t>Forensics Methods and Labs (</w:t>
            </w:r>
            <w:proofErr w:type="spellStart"/>
            <w:r>
              <w:rPr>
                <w:lang w:bidi="en-US"/>
              </w:rPr>
              <w:t>ch</w:t>
            </w:r>
            <w:proofErr w:type="spellEnd"/>
            <w:r>
              <w:rPr>
                <w:lang w:bidi="en-US"/>
              </w:rPr>
              <w:t xml:space="preserve"> 3); </w:t>
            </w:r>
            <w:r w:rsidRPr="00B55F6B">
              <w:rPr>
                <w:i/>
                <w:lang w:bidi="en-US"/>
              </w:rPr>
              <w:t>Lab 2</w:t>
            </w:r>
            <w:r>
              <w:rPr>
                <w:lang w:bidi="en-US"/>
              </w:rPr>
              <w:t>; SANS SIFT Forensics Platform</w:t>
            </w:r>
          </w:p>
        </w:tc>
      </w:tr>
      <w:tr w:rsidR="00945520" w:rsidRPr="00945520" w14:paraId="2E0DD219" w14:textId="77777777" w:rsidTr="00FA4079">
        <w:tc>
          <w:tcPr>
            <w:tcW w:w="3183" w:type="dxa"/>
            <w:tcBorders>
              <w:top w:val="nil"/>
              <w:bottom w:val="nil"/>
            </w:tcBorders>
          </w:tcPr>
          <w:p w14:paraId="7C1381BB" w14:textId="5080474E" w:rsidR="00945520" w:rsidRPr="00945520" w:rsidRDefault="00945520" w:rsidP="00E35CB1">
            <w:pPr>
              <w:rPr>
                <w:b/>
                <w:bCs/>
                <w:lang w:bidi="en-US"/>
              </w:rPr>
            </w:pPr>
            <w:r w:rsidRPr="00945520">
              <w:rPr>
                <w:b/>
                <w:bCs/>
                <w:lang w:bidi="en-US"/>
              </w:rPr>
              <w:t>January 3</w:t>
            </w:r>
            <w:r w:rsidR="00866F43">
              <w:rPr>
                <w:b/>
                <w:bCs/>
                <w:lang w:bidi="en-US"/>
              </w:rPr>
              <w:t>0</w:t>
            </w:r>
            <w:r w:rsidRPr="00945520">
              <w:rPr>
                <w:b/>
                <w:bCs/>
                <w:lang w:bidi="en-US"/>
              </w:rPr>
              <w:t xml:space="preserve">: </w:t>
            </w:r>
          </w:p>
        </w:tc>
        <w:tc>
          <w:tcPr>
            <w:tcW w:w="5457" w:type="dxa"/>
            <w:tcBorders>
              <w:top w:val="nil"/>
              <w:bottom w:val="nil"/>
            </w:tcBorders>
          </w:tcPr>
          <w:p w14:paraId="1F9B90C6" w14:textId="3CBCE940" w:rsidR="00945520" w:rsidRPr="00945520" w:rsidRDefault="00E920F0" w:rsidP="00FE758D">
            <w:pPr>
              <w:rPr>
                <w:lang w:bidi="en-US"/>
              </w:rPr>
            </w:pPr>
            <w:r>
              <w:rPr>
                <w:lang w:bidi="en-US"/>
              </w:rPr>
              <w:t>Collecting, Seizing and Protecting Evidence (</w:t>
            </w:r>
            <w:proofErr w:type="spellStart"/>
            <w:r>
              <w:rPr>
                <w:lang w:bidi="en-US"/>
              </w:rPr>
              <w:t>ch</w:t>
            </w:r>
            <w:proofErr w:type="spellEnd"/>
            <w:r>
              <w:rPr>
                <w:lang w:bidi="en-US"/>
              </w:rPr>
              <w:t xml:space="preserve"> 4); </w:t>
            </w:r>
            <w:r w:rsidRPr="00B55F6B">
              <w:rPr>
                <w:i/>
                <w:lang w:bidi="en-US"/>
              </w:rPr>
              <w:t>Lab 3</w:t>
            </w:r>
            <w:r>
              <w:rPr>
                <w:lang w:bidi="en-US"/>
              </w:rPr>
              <w:t xml:space="preserve">; </w:t>
            </w:r>
            <w:r w:rsidRPr="00B55F6B">
              <w:rPr>
                <w:i/>
                <w:lang w:bidi="en-US"/>
              </w:rPr>
              <w:t>Quiz #1</w:t>
            </w:r>
            <w:r>
              <w:rPr>
                <w:lang w:bidi="en-US"/>
              </w:rPr>
              <w:t>; More on DFIR</w:t>
            </w:r>
            <w:r w:rsidR="00D114D6">
              <w:rPr>
                <w:lang w:bidi="en-US"/>
              </w:rPr>
              <w:t>; Case Study</w:t>
            </w:r>
          </w:p>
        </w:tc>
      </w:tr>
      <w:tr w:rsidR="00945520" w:rsidRPr="00945520" w14:paraId="5737F683" w14:textId="77777777" w:rsidTr="00FA4079">
        <w:tc>
          <w:tcPr>
            <w:tcW w:w="3183" w:type="dxa"/>
            <w:tcBorders>
              <w:top w:val="nil"/>
              <w:left w:val="nil"/>
              <w:bottom w:val="nil"/>
              <w:right w:val="nil"/>
            </w:tcBorders>
            <w:shd w:val="clear" w:color="auto" w:fill="BDD6EE" w:themeFill="accent1" w:themeFillTint="66"/>
          </w:tcPr>
          <w:p w14:paraId="6341DE93" w14:textId="7CE3CB41" w:rsidR="00945520" w:rsidRPr="00945520" w:rsidRDefault="00945520" w:rsidP="00E35CB1">
            <w:pPr>
              <w:rPr>
                <w:b/>
                <w:bCs/>
                <w:lang w:bidi="en-US"/>
              </w:rPr>
            </w:pPr>
            <w:r w:rsidRPr="00945520">
              <w:rPr>
                <w:b/>
                <w:bCs/>
                <w:lang w:bidi="en-US"/>
              </w:rPr>
              <w:t xml:space="preserve">February </w:t>
            </w:r>
            <w:r w:rsidR="00866F43">
              <w:rPr>
                <w:b/>
                <w:bCs/>
                <w:lang w:bidi="en-US"/>
              </w:rPr>
              <w:t>6</w:t>
            </w:r>
            <w:r w:rsidRPr="00945520">
              <w:rPr>
                <w:b/>
                <w:bCs/>
                <w:lang w:bidi="en-US"/>
              </w:rPr>
              <w:t xml:space="preserve">: </w:t>
            </w:r>
          </w:p>
        </w:tc>
        <w:tc>
          <w:tcPr>
            <w:tcW w:w="5457" w:type="dxa"/>
            <w:tcBorders>
              <w:top w:val="nil"/>
              <w:left w:val="nil"/>
              <w:bottom w:val="nil"/>
              <w:right w:val="nil"/>
            </w:tcBorders>
            <w:shd w:val="clear" w:color="auto" w:fill="BDD6EE" w:themeFill="accent1" w:themeFillTint="66"/>
          </w:tcPr>
          <w:p w14:paraId="710490E8" w14:textId="09D0602D" w:rsidR="00945520" w:rsidRPr="00945520" w:rsidRDefault="00E920F0" w:rsidP="00E920F0">
            <w:pPr>
              <w:rPr>
                <w:lang w:bidi="en-US"/>
              </w:rPr>
            </w:pPr>
            <w:r>
              <w:rPr>
                <w:lang w:bidi="en-US"/>
              </w:rPr>
              <w:t>Techniques for Hiding and Scrambling Information (</w:t>
            </w:r>
            <w:proofErr w:type="spellStart"/>
            <w:r>
              <w:rPr>
                <w:lang w:bidi="en-US"/>
              </w:rPr>
              <w:t>ch</w:t>
            </w:r>
            <w:proofErr w:type="spellEnd"/>
            <w:r>
              <w:rPr>
                <w:lang w:bidi="en-US"/>
              </w:rPr>
              <w:t xml:space="preserve"> 5); Recovering Data (</w:t>
            </w:r>
            <w:proofErr w:type="spellStart"/>
            <w:r>
              <w:rPr>
                <w:lang w:bidi="en-US"/>
              </w:rPr>
              <w:t>ch</w:t>
            </w:r>
            <w:proofErr w:type="spellEnd"/>
            <w:r>
              <w:rPr>
                <w:lang w:bidi="en-US"/>
              </w:rPr>
              <w:t xml:space="preserve"> 6); </w:t>
            </w:r>
            <w:r w:rsidRPr="00B55F6B">
              <w:rPr>
                <w:i/>
                <w:lang w:bidi="en-US"/>
              </w:rPr>
              <w:t>Lab 4</w:t>
            </w:r>
            <w:r w:rsidR="008A533F">
              <w:rPr>
                <w:lang w:bidi="en-US"/>
              </w:rPr>
              <w:t>; More DFIR Case Study</w:t>
            </w:r>
          </w:p>
        </w:tc>
      </w:tr>
      <w:tr w:rsidR="00945520" w:rsidRPr="00945520" w14:paraId="53839ACE" w14:textId="77777777" w:rsidTr="00FA4079">
        <w:tc>
          <w:tcPr>
            <w:tcW w:w="3183" w:type="dxa"/>
            <w:tcBorders>
              <w:top w:val="nil"/>
              <w:bottom w:val="nil"/>
            </w:tcBorders>
          </w:tcPr>
          <w:p w14:paraId="18F8DE87" w14:textId="010888C4" w:rsidR="00945520" w:rsidRPr="00945520" w:rsidRDefault="00945520" w:rsidP="00E35CB1">
            <w:pPr>
              <w:rPr>
                <w:b/>
                <w:bCs/>
                <w:lang w:bidi="en-US"/>
              </w:rPr>
            </w:pPr>
            <w:r w:rsidRPr="00945520">
              <w:rPr>
                <w:b/>
                <w:bCs/>
                <w:lang w:bidi="en-US"/>
              </w:rPr>
              <w:t xml:space="preserve">February </w:t>
            </w:r>
            <w:r>
              <w:rPr>
                <w:b/>
                <w:bCs/>
                <w:lang w:bidi="en-US"/>
              </w:rPr>
              <w:t>1</w:t>
            </w:r>
            <w:r w:rsidR="00866F43">
              <w:rPr>
                <w:b/>
                <w:bCs/>
                <w:lang w:bidi="en-US"/>
              </w:rPr>
              <w:t>3</w:t>
            </w:r>
            <w:r w:rsidRPr="00945520">
              <w:rPr>
                <w:b/>
                <w:bCs/>
                <w:lang w:bidi="en-US"/>
              </w:rPr>
              <w:t xml:space="preserve">: </w:t>
            </w:r>
          </w:p>
        </w:tc>
        <w:tc>
          <w:tcPr>
            <w:tcW w:w="5457" w:type="dxa"/>
            <w:tcBorders>
              <w:top w:val="nil"/>
              <w:bottom w:val="nil"/>
            </w:tcBorders>
          </w:tcPr>
          <w:p w14:paraId="1E7D99D7" w14:textId="0201C099" w:rsidR="00945520" w:rsidRPr="00945520" w:rsidRDefault="00E920F0" w:rsidP="00BF700F">
            <w:pPr>
              <w:rPr>
                <w:lang w:bidi="en-US"/>
              </w:rPr>
            </w:pPr>
            <w:r>
              <w:rPr>
                <w:lang w:bidi="en-US"/>
              </w:rPr>
              <w:t>Email Forensics (</w:t>
            </w:r>
            <w:proofErr w:type="spellStart"/>
            <w:r>
              <w:rPr>
                <w:lang w:bidi="en-US"/>
              </w:rPr>
              <w:t>ch</w:t>
            </w:r>
            <w:proofErr w:type="spellEnd"/>
            <w:r>
              <w:rPr>
                <w:lang w:bidi="en-US"/>
              </w:rPr>
              <w:t xml:space="preserve"> 7); Windows Forensics (</w:t>
            </w:r>
            <w:proofErr w:type="spellStart"/>
            <w:r>
              <w:rPr>
                <w:lang w:bidi="en-US"/>
              </w:rPr>
              <w:t>ch</w:t>
            </w:r>
            <w:proofErr w:type="spellEnd"/>
            <w:r>
              <w:rPr>
                <w:lang w:bidi="en-US"/>
              </w:rPr>
              <w:t xml:space="preserve"> 8); Linux Forensics (</w:t>
            </w:r>
            <w:proofErr w:type="spellStart"/>
            <w:r>
              <w:rPr>
                <w:lang w:bidi="en-US"/>
              </w:rPr>
              <w:t>ch</w:t>
            </w:r>
            <w:proofErr w:type="spellEnd"/>
            <w:r>
              <w:rPr>
                <w:lang w:bidi="en-US"/>
              </w:rPr>
              <w:t xml:space="preserve"> 9); </w:t>
            </w:r>
            <w:r w:rsidRPr="00B55F6B">
              <w:rPr>
                <w:i/>
                <w:lang w:bidi="en-US"/>
              </w:rPr>
              <w:t>Lab 5</w:t>
            </w:r>
          </w:p>
        </w:tc>
      </w:tr>
      <w:tr w:rsidR="00945520" w:rsidRPr="00945520" w14:paraId="2D57CD8E" w14:textId="77777777" w:rsidTr="00FA4079">
        <w:trPr>
          <w:trHeight w:val="369"/>
        </w:trPr>
        <w:tc>
          <w:tcPr>
            <w:tcW w:w="3183" w:type="dxa"/>
            <w:tcBorders>
              <w:top w:val="nil"/>
              <w:left w:val="nil"/>
              <w:bottom w:val="nil"/>
              <w:right w:val="nil"/>
            </w:tcBorders>
            <w:shd w:val="clear" w:color="auto" w:fill="BDD6EE" w:themeFill="accent1" w:themeFillTint="66"/>
          </w:tcPr>
          <w:p w14:paraId="7AD6B889" w14:textId="4C44963D" w:rsidR="00945520" w:rsidRPr="00945520" w:rsidRDefault="00945520" w:rsidP="00E35CB1">
            <w:pPr>
              <w:rPr>
                <w:b/>
                <w:bCs/>
                <w:lang w:bidi="en-US"/>
              </w:rPr>
            </w:pPr>
            <w:r w:rsidRPr="00945520">
              <w:rPr>
                <w:b/>
                <w:bCs/>
                <w:lang w:bidi="en-US"/>
              </w:rPr>
              <w:t xml:space="preserve">February </w:t>
            </w:r>
            <w:r>
              <w:rPr>
                <w:b/>
                <w:bCs/>
                <w:lang w:bidi="en-US"/>
              </w:rPr>
              <w:t>2</w:t>
            </w:r>
            <w:r w:rsidR="00866F43">
              <w:rPr>
                <w:b/>
                <w:bCs/>
                <w:lang w:bidi="en-US"/>
              </w:rPr>
              <w:t>0</w:t>
            </w:r>
            <w:r w:rsidRPr="00945520">
              <w:rPr>
                <w:b/>
                <w:bCs/>
                <w:lang w:bidi="en-US"/>
              </w:rPr>
              <w:t xml:space="preserve">: </w:t>
            </w:r>
          </w:p>
        </w:tc>
        <w:tc>
          <w:tcPr>
            <w:tcW w:w="5457" w:type="dxa"/>
            <w:tcBorders>
              <w:top w:val="nil"/>
              <w:left w:val="nil"/>
              <w:bottom w:val="nil"/>
              <w:right w:val="nil"/>
            </w:tcBorders>
            <w:shd w:val="clear" w:color="auto" w:fill="BDD6EE" w:themeFill="accent1" w:themeFillTint="66"/>
          </w:tcPr>
          <w:p w14:paraId="1A724899" w14:textId="0233AC4F" w:rsidR="00945520" w:rsidRPr="00945520" w:rsidRDefault="00E920F0" w:rsidP="00945520">
            <w:pPr>
              <w:rPr>
                <w:lang w:bidi="en-US"/>
              </w:rPr>
            </w:pPr>
            <w:r>
              <w:rPr>
                <w:lang w:bidi="en-US"/>
              </w:rPr>
              <w:t>Macintosh Forensics (</w:t>
            </w:r>
            <w:proofErr w:type="spellStart"/>
            <w:r>
              <w:rPr>
                <w:lang w:bidi="en-US"/>
              </w:rPr>
              <w:t>ch</w:t>
            </w:r>
            <w:proofErr w:type="spellEnd"/>
            <w:r w:rsidR="00631827">
              <w:rPr>
                <w:lang w:bidi="en-US"/>
              </w:rPr>
              <w:t xml:space="preserve"> </w:t>
            </w:r>
            <w:r>
              <w:rPr>
                <w:lang w:bidi="en-US"/>
              </w:rPr>
              <w:t>10); Mobile Forensics (</w:t>
            </w:r>
            <w:proofErr w:type="spellStart"/>
            <w:r>
              <w:rPr>
                <w:lang w:bidi="en-US"/>
              </w:rPr>
              <w:t>ch</w:t>
            </w:r>
            <w:proofErr w:type="spellEnd"/>
            <w:r w:rsidR="00631827">
              <w:rPr>
                <w:lang w:bidi="en-US"/>
              </w:rPr>
              <w:t xml:space="preserve"> </w:t>
            </w:r>
            <w:r>
              <w:rPr>
                <w:lang w:bidi="en-US"/>
              </w:rPr>
              <w:t xml:space="preserve">11); </w:t>
            </w:r>
            <w:r w:rsidRPr="00B55F6B">
              <w:rPr>
                <w:i/>
                <w:lang w:bidi="en-US"/>
              </w:rPr>
              <w:t>Lab 6</w:t>
            </w:r>
            <w:r>
              <w:rPr>
                <w:lang w:bidi="en-US"/>
              </w:rPr>
              <w:t>, DFIR Case Study</w:t>
            </w:r>
          </w:p>
        </w:tc>
      </w:tr>
      <w:tr w:rsidR="00945520" w:rsidRPr="00945520" w14:paraId="7F37AD0E" w14:textId="77777777" w:rsidTr="00FA4079">
        <w:trPr>
          <w:trHeight w:val="324"/>
        </w:trPr>
        <w:tc>
          <w:tcPr>
            <w:tcW w:w="3183" w:type="dxa"/>
            <w:tcBorders>
              <w:top w:val="nil"/>
              <w:left w:val="nil"/>
              <w:bottom w:val="nil"/>
              <w:right w:val="nil"/>
            </w:tcBorders>
            <w:shd w:val="clear" w:color="auto" w:fill="auto"/>
          </w:tcPr>
          <w:p w14:paraId="1C758E5D" w14:textId="22E5EE3A" w:rsidR="00945520" w:rsidRPr="00945520" w:rsidRDefault="00945520" w:rsidP="00E35CB1">
            <w:pPr>
              <w:rPr>
                <w:b/>
                <w:bCs/>
                <w:iCs/>
                <w:lang w:bidi="en-US"/>
              </w:rPr>
            </w:pPr>
            <w:r w:rsidRPr="00945520">
              <w:rPr>
                <w:b/>
                <w:bCs/>
                <w:iCs/>
                <w:lang w:bidi="en-US"/>
              </w:rPr>
              <w:t xml:space="preserve">February </w:t>
            </w:r>
            <w:r>
              <w:rPr>
                <w:b/>
                <w:bCs/>
                <w:iCs/>
                <w:lang w:bidi="en-US"/>
              </w:rPr>
              <w:t>2</w:t>
            </w:r>
            <w:r w:rsidR="00866F43">
              <w:rPr>
                <w:b/>
                <w:bCs/>
                <w:iCs/>
                <w:lang w:bidi="en-US"/>
              </w:rPr>
              <w:t>7</w:t>
            </w:r>
            <w:r w:rsidRPr="00945520">
              <w:rPr>
                <w:b/>
                <w:bCs/>
                <w:iCs/>
                <w:lang w:bidi="en-US"/>
              </w:rPr>
              <w:t>:</w:t>
            </w:r>
          </w:p>
        </w:tc>
        <w:tc>
          <w:tcPr>
            <w:tcW w:w="5457" w:type="dxa"/>
            <w:tcBorders>
              <w:top w:val="nil"/>
              <w:left w:val="nil"/>
              <w:bottom w:val="nil"/>
              <w:right w:val="nil"/>
            </w:tcBorders>
            <w:shd w:val="clear" w:color="auto" w:fill="auto"/>
          </w:tcPr>
          <w:p w14:paraId="64E34E17" w14:textId="66D17212" w:rsidR="00945520" w:rsidRPr="00945520" w:rsidRDefault="00631827" w:rsidP="00201756">
            <w:pPr>
              <w:rPr>
                <w:bCs/>
                <w:iCs/>
                <w:lang w:bidi="en-US"/>
              </w:rPr>
            </w:pPr>
            <w:r>
              <w:rPr>
                <w:bCs/>
                <w:iCs/>
                <w:lang w:bidi="en-US"/>
              </w:rPr>
              <w:t>Performing Network Analysis (</w:t>
            </w:r>
            <w:proofErr w:type="spellStart"/>
            <w:r>
              <w:rPr>
                <w:bCs/>
                <w:iCs/>
                <w:lang w:bidi="en-US"/>
              </w:rPr>
              <w:t>ch</w:t>
            </w:r>
            <w:proofErr w:type="spellEnd"/>
            <w:r>
              <w:rPr>
                <w:bCs/>
                <w:iCs/>
                <w:lang w:bidi="en-US"/>
              </w:rPr>
              <w:t xml:space="preserve"> 12); </w:t>
            </w:r>
            <w:r w:rsidRPr="00B55F6B">
              <w:rPr>
                <w:bCs/>
                <w:i/>
                <w:iCs/>
                <w:lang w:bidi="en-US"/>
              </w:rPr>
              <w:t>Lab 7</w:t>
            </w:r>
            <w:r>
              <w:rPr>
                <w:bCs/>
                <w:iCs/>
                <w:lang w:bidi="en-US"/>
              </w:rPr>
              <w:t xml:space="preserve">; DFIR Memory Analysis; </w:t>
            </w:r>
            <w:r w:rsidR="0090644E">
              <w:rPr>
                <w:bCs/>
                <w:iCs/>
                <w:lang w:bidi="en-US"/>
              </w:rPr>
              <w:t>[</w:t>
            </w:r>
            <w:r w:rsidRPr="00B55F6B">
              <w:rPr>
                <w:bCs/>
                <w:i/>
                <w:iCs/>
                <w:lang w:bidi="en-US"/>
              </w:rPr>
              <w:t>Lab 8</w:t>
            </w:r>
            <w:r w:rsidR="0090644E">
              <w:rPr>
                <w:bCs/>
                <w:iCs/>
                <w:lang w:bidi="en-US"/>
              </w:rPr>
              <w:t xml:space="preserve">; </w:t>
            </w:r>
            <w:r w:rsidR="0090644E" w:rsidRPr="00B55F6B">
              <w:rPr>
                <w:bCs/>
                <w:i/>
                <w:iCs/>
                <w:lang w:bidi="en-US"/>
              </w:rPr>
              <w:t>Quiz #2</w:t>
            </w:r>
            <w:r w:rsidR="0090644E">
              <w:rPr>
                <w:bCs/>
                <w:iCs/>
                <w:lang w:bidi="en-US"/>
              </w:rPr>
              <w:t xml:space="preserve"> (leading into Spring Break)]</w:t>
            </w:r>
          </w:p>
        </w:tc>
      </w:tr>
      <w:tr w:rsidR="00945520" w:rsidRPr="00945520" w14:paraId="2E6CC3DA" w14:textId="77777777" w:rsidTr="00FA4079">
        <w:tc>
          <w:tcPr>
            <w:tcW w:w="3183" w:type="dxa"/>
            <w:tcBorders>
              <w:top w:val="nil"/>
              <w:left w:val="nil"/>
              <w:bottom w:val="nil"/>
              <w:right w:val="nil"/>
            </w:tcBorders>
            <w:shd w:val="clear" w:color="auto" w:fill="BDD6EE" w:themeFill="accent1" w:themeFillTint="66"/>
          </w:tcPr>
          <w:p w14:paraId="15F6F716" w14:textId="5C414D63" w:rsidR="00945520" w:rsidRPr="00945520" w:rsidRDefault="00945520" w:rsidP="00E35CB1">
            <w:pPr>
              <w:rPr>
                <w:b/>
                <w:bCs/>
                <w:iCs/>
                <w:lang w:bidi="en-US"/>
              </w:rPr>
            </w:pPr>
            <w:r w:rsidRPr="00945520">
              <w:rPr>
                <w:b/>
                <w:bCs/>
                <w:iCs/>
                <w:lang w:bidi="en-US"/>
              </w:rPr>
              <w:t xml:space="preserve">March </w:t>
            </w:r>
            <w:r>
              <w:rPr>
                <w:b/>
                <w:bCs/>
                <w:iCs/>
                <w:lang w:bidi="en-US"/>
              </w:rPr>
              <w:t>1</w:t>
            </w:r>
            <w:r w:rsidR="00866F43">
              <w:rPr>
                <w:b/>
                <w:bCs/>
                <w:iCs/>
                <w:lang w:bidi="en-US"/>
              </w:rPr>
              <w:t>2</w:t>
            </w:r>
            <w:r w:rsidRPr="00945520">
              <w:rPr>
                <w:b/>
                <w:bCs/>
                <w:iCs/>
                <w:lang w:bidi="en-US"/>
              </w:rPr>
              <w:t>:</w:t>
            </w:r>
          </w:p>
        </w:tc>
        <w:tc>
          <w:tcPr>
            <w:tcW w:w="5457" w:type="dxa"/>
            <w:tcBorders>
              <w:top w:val="nil"/>
              <w:left w:val="nil"/>
              <w:bottom w:val="nil"/>
              <w:right w:val="nil"/>
            </w:tcBorders>
            <w:shd w:val="clear" w:color="auto" w:fill="BDD6EE" w:themeFill="accent1" w:themeFillTint="66"/>
          </w:tcPr>
          <w:p w14:paraId="3E71CA5A" w14:textId="2568CC22" w:rsidR="00945520" w:rsidRPr="00945520" w:rsidRDefault="00631827" w:rsidP="00201756">
            <w:pPr>
              <w:rPr>
                <w:bCs/>
                <w:iCs/>
                <w:lang w:bidi="en-US"/>
              </w:rPr>
            </w:pPr>
            <w:r>
              <w:rPr>
                <w:bCs/>
                <w:iCs/>
                <w:lang w:bidi="en-US"/>
              </w:rPr>
              <w:t>Incident and Intrusion Response (</w:t>
            </w:r>
            <w:proofErr w:type="spellStart"/>
            <w:r>
              <w:rPr>
                <w:bCs/>
                <w:iCs/>
                <w:lang w:bidi="en-US"/>
              </w:rPr>
              <w:t>ch</w:t>
            </w:r>
            <w:proofErr w:type="spellEnd"/>
            <w:r>
              <w:rPr>
                <w:bCs/>
                <w:iCs/>
                <w:lang w:bidi="en-US"/>
              </w:rPr>
              <w:t xml:space="preserve"> 13); Trends and Future Directions (</w:t>
            </w:r>
            <w:proofErr w:type="spellStart"/>
            <w:r>
              <w:rPr>
                <w:bCs/>
                <w:iCs/>
                <w:lang w:bidi="en-US"/>
              </w:rPr>
              <w:t>ch</w:t>
            </w:r>
            <w:proofErr w:type="spellEnd"/>
            <w:r>
              <w:rPr>
                <w:bCs/>
                <w:iCs/>
                <w:lang w:bidi="en-US"/>
              </w:rPr>
              <w:t xml:space="preserve"> 14); Systems Forensics Resources (</w:t>
            </w:r>
            <w:proofErr w:type="spellStart"/>
            <w:r>
              <w:rPr>
                <w:bCs/>
                <w:iCs/>
                <w:lang w:bidi="en-US"/>
              </w:rPr>
              <w:t>ch</w:t>
            </w:r>
            <w:proofErr w:type="spellEnd"/>
            <w:r>
              <w:rPr>
                <w:bCs/>
                <w:iCs/>
                <w:lang w:bidi="en-US"/>
              </w:rPr>
              <w:t xml:space="preserve"> 15); </w:t>
            </w:r>
            <w:r w:rsidR="0090644E" w:rsidRPr="00B55F6B">
              <w:rPr>
                <w:bCs/>
                <w:i/>
                <w:iCs/>
                <w:lang w:bidi="en-US"/>
              </w:rPr>
              <w:t>Lab 9</w:t>
            </w:r>
            <w:r w:rsidR="0090644E">
              <w:rPr>
                <w:bCs/>
                <w:iCs/>
                <w:lang w:bidi="en-US"/>
              </w:rPr>
              <w:t xml:space="preserve">; </w:t>
            </w:r>
            <w:r w:rsidR="009C1E37" w:rsidRPr="009C1E37">
              <w:rPr>
                <w:bCs/>
                <w:iCs/>
                <w:lang w:bidi="en-US"/>
              </w:rPr>
              <w:t xml:space="preserve">Hands-On with </w:t>
            </w:r>
            <w:proofErr w:type="spellStart"/>
            <w:r w:rsidR="009C1E37" w:rsidRPr="009C1E37">
              <w:rPr>
                <w:bCs/>
                <w:iCs/>
                <w:lang w:bidi="en-US"/>
              </w:rPr>
              <w:t>NetWitness</w:t>
            </w:r>
            <w:proofErr w:type="spellEnd"/>
            <w:r w:rsidR="009C1E37" w:rsidRPr="009C1E37">
              <w:rPr>
                <w:bCs/>
                <w:iCs/>
                <w:lang w:bidi="en-US"/>
              </w:rPr>
              <w:t xml:space="preserve"> and </w:t>
            </w:r>
            <w:proofErr w:type="spellStart"/>
            <w:r w:rsidR="009C1E37" w:rsidRPr="009C1E37">
              <w:rPr>
                <w:bCs/>
                <w:iCs/>
                <w:lang w:bidi="en-US"/>
              </w:rPr>
              <w:t>OSForensics</w:t>
            </w:r>
            <w:proofErr w:type="spellEnd"/>
          </w:p>
        </w:tc>
      </w:tr>
      <w:tr w:rsidR="0033568C" w:rsidRPr="00945520" w14:paraId="3C62F1FD" w14:textId="77777777" w:rsidTr="00DB352B">
        <w:tc>
          <w:tcPr>
            <w:tcW w:w="3183" w:type="dxa"/>
            <w:tcBorders>
              <w:top w:val="nil"/>
              <w:left w:val="nil"/>
              <w:bottom w:val="nil"/>
              <w:right w:val="nil"/>
            </w:tcBorders>
            <w:shd w:val="clear" w:color="auto" w:fill="auto"/>
          </w:tcPr>
          <w:p w14:paraId="2F676159" w14:textId="1424BF37" w:rsidR="0033568C" w:rsidRPr="00945520" w:rsidRDefault="0033568C" w:rsidP="00E35CB1">
            <w:pPr>
              <w:rPr>
                <w:b/>
                <w:bCs/>
                <w:iCs/>
                <w:lang w:bidi="en-US"/>
              </w:rPr>
            </w:pPr>
            <w:r>
              <w:rPr>
                <w:b/>
                <w:bCs/>
                <w:iCs/>
                <w:lang w:bidi="en-US"/>
              </w:rPr>
              <w:t xml:space="preserve">March </w:t>
            </w:r>
            <w:r w:rsidR="00866F43">
              <w:rPr>
                <w:b/>
                <w:bCs/>
                <w:iCs/>
                <w:lang w:bidi="en-US"/>
              </w:rPr>
              <w:t>19</w:t>
            </w:r>
            <w:r>
              <w:rPr>
                <w:b/>
                <w:bCs/>
                <w:iCs/>
                <w:lang w:bidi="en-US"/>
              </w:rPr>
              <w:t>:</w:t>
            </w:r>
          </w:p>
        </w:tc>
        <w:tc>
          <w:tcPr>
            <w:tcW w:w="5457" w:type="dxa"/>
            <w:tcBorders>
              <w:top w:val="nil"/>
              <w:left w:val="nil"/>
              <w:bottom w:val="nil"/>
              <w:right w:val="nil"/>
            </w:tcBorders>
            <w:shd w:val="clear" w:color="auto" w:fill="auto"/>
          </w:tcPr>
          <w:p w14:paraId="2C0E51C0" w14:textId="0C3819F8" w:rsidR="0033568C" w:rsidRPr="00945520" w:rsidRDefault="009C1E37" w:rsidP="00F51B94">
            <w:pPr>
              <w:rPr>
                <w:bCs/>
                <w:iCs/>
                <w:lang w:bidi="en-US"/>
              </w:rPr>
            </w:pPr>
            <w:proofErr w:type="spellStart"/>
            <w:r w:rsidRPr="009C1E37">
              <w:rPr>
                <w:bCs/>
                <w:iCs/>
                <w:lang w:bidi="en-US"/>
              </w:rPr>
              <w:t>REMnux</w:t>
            </w:r>
            <w:proofErr w:type="spellEnd"/>
            <w:r w:rsidRPr="009C1E37">
              <w:rPr>
                <w:bCs/>
                <w:iCs/>
                <w:lang w:bidi="en-US"/>
              </w:rPr>
              <w:t xml:space="preserve"> and Malware Analysis; Google GRR; Memory Analysis; </w:t>
            </w:r>
            <w:r w:rsidRPr="00B55F6B">
              <w:rPr>
                <w:bCs/>
                <w:i/>
                <w:iCs/>
                <w:lang w:bidi="en-US"/>
              </w:rPr>
              <w:t>Lab 10</w:t>
            </w:r>
            <w:r w:rsidR="00811F0A">
              <w:rPr>
                <w:bCs/>
                <w:iCs/>
                <w:lang w:bidi="en-US"/>
              </w:rPr>
              <w:t xml:space="preserve">; </w:t>
            </w:r>
            <w:r w:rsidR="00811F0A" w:rsidRPr="00B55F6B">
              <w:rPr>
                <w:bCs/>
                <w:i/>
                <w:iCs/>
                <w:lang w:bidi="en-US"/>
              </w:rPr>
              <w:t>Quiz #3</w:t>
            </w:r>
            <w:r w:rsidR="00811F0A" w:rsidRPr="00811F0A">
              <w:rPr>
                <w:bCs/>
                <w:iCs/>
                <w:lang w:bidi="en-US"/>
              </w:rPr>
              <w:t>; Research Presentation topic submitted and approved</w:t>
            </w:r>
          </w:p>
        </w:tc>
      </w:tr>
      <w:tr w:rsidR="00945520" w:rsidRPr="00945520" w14:paraId="25662CE5" w14:textId="77777777" w:rsidTr="00DB352B">
        <w:trPr>
          <w:trHeight w:val="387"/>
        </w:trPr>
        <w:tc>
          <w:tcPr>
            <w:tcW w:w="3183" w:type="dxa"/>
            <w:tcBorders>
              <w:top w:val="nil"/>
              <w:left w:val="nil"/>
              <w:bottom w:val="nil"/>
              <w:right w:val="nil"/>
            </w:tcBorders>
            <w:shd w:val="clear" w:color="auto" w:fill="BDD6EE" w:themeFill="accent1" w:themeFillTint="66"/>
          </w:tcPr>
          <w:p w14:paraId="1DA23DEA" w14:textId="03735A9D" w:rsidR="00945520" w:rsidRPr="00945520" w:rsidRDefault="00945520" w:rsidP="00E35CB1">
            <w:pPr>
              <w:rPr>
                <w:b/>
                <w:bCs/>
                <w:iCs/>
                <w:lang w:bidi="en-US"/>
              </w:rPr>
            </w:pPr>
            <w:r w:rsidRPr="00945520">
              <w:rPr>
                <w:b/>
                <w:bCs/>
                <w:iCs/>
                <w:lang w:bidi="en-US"/>
              </w:rPr>
              <w:t>March 2</w:t>
            </w:r>
            <w:r w:rsidR="00866F43">
              <w:rPr>
                <w:b/>
                <w:bCs/>
                <w:iCs/>
                <w:lang w:bidi="en-US"/>
              </w:rPr>
              <w:t>6</w:t>
            </w:r>
            <w:r w:rsidRPr="00945520">
              <w:rPr>
                <w:b/>
                <w:bCs/>
                <w:iCs/>
                <w:lang w:bidi="en-US"/>
              </w:rPr>
              <w:t>:</w:t>
            </w:r>
          </w:p>
        </w:tc>
        <w:tc>
          <w:tcPr>
            <w:tcW w:w="5457" w:type="dxa"/>
            <w:tcBorders>
              <w:top w:val="nil"/>
              <w:left w:val="nil"/>
              <w:bottom w:val="nil"/>
              <w:right w:val="nil"/>
            </w:tcBorders>
            <w:shd w:val="clear" w:color="auto" w:fill="BDD6EE" w:themeFill="accent1" w:themeFillTint="66"/>
          </w:tcPr>
          <w:p w14:paraId="742E0AED" w14:textId="6546CFCE" w:rsidR="00945520" w:rsidRPr="00945520" w:rsidRDefault="009C1E37" w:rsidP="0090644E">
            <w:pPr>
              <w:rPr>
                <w:bCs/>
                <w:iCs/>
                <w:lang w:bidi="en-US"/>
              </w:rPr>
            </w:pPr>
            <w:r w:rsidRPr="009C1E37">
              <w:rPr>
                <w:bCs/>
                <w:iCs/>
                <w:lang w:bidi="en-US"/>
              </w:rPr>
              <w:t xml:space="preserve">Registry Forensics; Docker Technology for Forensics; Docker Examples; Elastic Stack with Docker; Log Analysis Application; </w:t>
            </w:r>
            <w:r w:rsidRPr="00B55F6B">
              <w:rPr>
                <w:bCs/>
                <w:i/>
                <w:iCs/>
                <w:lang w:bidi="en-US"/>
              </w:rPr>
              <w:t>Lab 11</w:t>
            </w:r>
            <w:r w:rsidRPr="009C1E37">
              <w:rPr>
                <w:bCs/>
                <w:iCs/>
                <w:lang w:bidi="en-US"/>
              </w:rPr>
              <w:t xml:space="preserve">; </w:t>
            </w:r>
            <w:r w:rsidRPr="00B55F6B">
              <w:rPr>
                <w:bCs/>
                <w:i/>
                <w:iCs/>
                <w:lang w:bidi="en-US"/>
              </w:rPr>
              <w:t>Quiz #4</w:t>
            </w:r>
          </w:p>
        </w:tc>
      </w:tr>
      <w:tr w:rsidR="0033568C" w:rsidRPr="00945520" w14:paraId="42B60318" w14:textId="77777777" w:rsidTr="00827FAC">
        <w:trPr>
          <w:trHeight w:val="387"/>
        </w:trPr>
        <w:tc>
          <w:tcPr>
            <w:tcW w:w="3183" w:type="dxa"/>
            <w:tcBorders>
              <w:top w:val="nil"/>
              <w:left w:val="nil"/>
              <w:bottom w:val="nil"/>
              <w:right w:val="nil"/>
            </w:tcBorders>
            <w:shd w:val="clear" w:color="auto" w:fill="auto"/>
          </w:tcPr>
          <w:p w14:paraId="0220B904" w14:textId="637F1591" w:rsidR="0033568C" w:rsidRPr="00945520" w:rsidRDefault="0033568C" w:rsidP="00E35CB1">
            <w:pPr>
              <w:rPr>
                <w:b/>
                <w:bCs/>
                <w:iCs/>
                <w:lang w:bidi="en-US"/>
              </w:rPr>
            </w:pPr>
            <w:r>
              <w:rPr>
                <w:b/>
                <w:bCs/>
                <w:iCs/>
                <w:lang w:bidi="en-US"/>
              </w:rPr>
              <w:t xml:space="preserve">April </w:t>
            </w:r>
            <w:r w:rsidR="00FA4079">
              <w:rPr>
                <w:b/>
                <w:bCs/>
                <w:iCs/>
                <w:lang w:bidi="en-US"/>
              </w:rPr>
              <w:t>2</w:t>
            </w:r>
            <w:r>
              <w:rPr>
                <w:b/>
                <w:bCs/>
                <w:iCs/>
                <w:lang w:bidi="en-US"/>
              </w:rPr>
              <w:t>:</w:t>
            </w:r>
          </w:p>
        </w:tc>
        <w:tc>
          <w:tcPr>
            <w:tcW w:w="5457" w:type="dxa"/>
            <w:tcBorders>
              <w:top w:val="nil"/>
              <w:left w:val="nil"/>
              <w:bottom w:val="nil"/>
              <w:right w:val="nil"/>
            </w:tcBorders>
            <w:shd w:val="clear" w:color="auto" w:fill="auto"/>
          </w:tcPr>
          <w:p w14:paraId="3C667C29" w14:textId="36731E9D" w:rsidR="0033568C" w:rsidRPr="00945520" w:rsidRDefault="009C1E37" w:rsidP="00F51B94">
            <w:pPr>
              <w:rPr>
                <w:bCs/>
                <w:iCs/>
                <w:lang w:bidi="en-US"/>
              </w:rPr>
            </w:pPr>
            <w:r w:rsidRPr="009C1E37">
              <w:rPr>
                <w:bCs/>
                <w:iCs/>
                <w:lang w:bidi="en-US"/>
              </w:rPr>
              <w:t xml:space="preserve">Docker Continued including Elastic Stack with Docker; Kubernetes for SOC/Forensics Platform; UEBA: User Entity Behavioral Analytics; Incident Response; </w:t>
            </w:r>
            <w:r w:rsidRPr="00B55F6B">
              <w:rPr>
                <w:bCs/>
                <w:i/>
                <w:iCs/>
                <w:lang w:bidi="en-US"/>
              </w:rPr>
              <w:t>Lab 12</w:t>
            </w:r>
          </w:p>
        </w:tc>
      </w:tr>
      <w:tr w:rsidR="00945520" w:rsidRPr="00945520" w14:paraId="1D111ED7" w14:textId="77777777" w:rsidTr="00827FAC">
        <w:tc>
          <w:tcPr>
            <w:tcW w:w="3183" w:type="dxa"/>
            <w:tcBorders>
              <w:top w:val="nil"/>
              <w:left w:val="nil"/>
              <w:bottom w:val="nil"/>
              <w:right w:val="nil"/>
            </w:tcBorders>
            <w:shd w:val="clear" w:color="auto" w:fill="BDD6EE" w:themeFill="accent1" w:themeFillTint="66"/>
          </w:tcPr>
          <w:p w14:paraId="5BD51E56" w14:textId="3829D582" w:rsidR="00945520" w:rsidRPr="00945520" w:rsidRDefault="00945520" w:rsidP="00E35CB1">
            <w:pPr>
              <w:rPr>
                <w:b/>
                <w:bCs/>
                <w:iCs/>
                <w:lang w:bidi="en-US"/>
              </w:rPr>
            </w:pPr>
            <w:r w:rsidRPr="00945520">
              <w:rPr>
                <w:b/>
                <w:bCs/>
                <w:iCs/>
                <w:lang w:bidi="en-US"/>
              </w:rPr>
              <w:t>April 1</w:t>
            </w:r>
            <w:r w:rsidR="00FA4079">
              <w:rPr>
                <w:b/>
                <w:bCs/>
                <w:iCs/>
                <w:lang w:bidi="en-US"/>
              </w:rPr>
              <w:t>6</w:t>
            </w:r>
            <w:r w:rsidRPr="00945520">
              <w:rPr>
                <w:b/>
                <w:bCs/>
                <w:iCs/>
                <w:lang w:bidi="en-US"/>
              </w:rPr>
              <w:t>:</w:t>
            </w:r>
          </w:p>
        </w:tc>
        <w:tc>
          <w:tcPr>
            <w:tcW w:w="5457" w:type="dxa"/>
            <w:tcBorders>
              <w:top w:val="nil"/>
              <w:left w:val="nil"/>
              <w:bottom w:val="nil"/>
              <w:right w:val="nil"/>
            </w:tcBorders>
            <w:shd w:val="clear" w:color="auto" w:fill="BDD6EE" w:themeFill="accent1" w:themeFillTint="66"/>
          </w:tcPr>
          <w:p w14:paraId="19F9BE95" w14:textId="31700103" w:rsidR="00945520" w:rsidRPr="00945520" w:rsidRDefault="008A533F" w:rsidP="00945520">
            <w:pPr>
              <w:rPr>
                <w:bCs/>
                <w:iCs/>
                <w:lang w:bidi="en-US"/>
              </w:rPr>
            </w:pPr>
            <w:r w:rsidRPr="008A533F">
              <w:rPr>
                <w:bCs/>
                <w:iCs/>
                <w:lang w:bidi="en-US"/>
              </w:rPr>
              <w:t xml:space="preserve">UEBA: User Entity Behavioral </w:t>
            </w:r>
            <w:r w:rsidR="0082279A" w:rsidRPr="008A533F">
              <w:rPr>
                <w:bCs/>
                <w:iCs/>
                <w:lang w:bidi="en-US"/>
              </w:rPr>
              <w:t xml:space="preserve">Analytics; </w:t>
            </w:r>
            <w:proofErr w:type="spellStart"/>
            <w:r w:rsidR="0082279A" w:rsidRPr="008A533F">
              <w:rPr>
                <w:bCs/>
                <w:iCs/>
                <w:lang w:bidi="en-US"/>
              </w:rPr>
              <w:t>Cymmetria</w:t>
            </w:r>
            <w:proofErr w:type="spellEnd"/>
            <w:r w:rsidRPr="008A533F">
              <w:rPr>
                <w:bCs/>
                <w:iCs/>
                <w:lang w:bidi="en-US"/>
              </w:rPr>
              <w:t xml:space="preserve"> Maze Runner for Active </w:t>
            </w:r>
            <w:r w:rsidR="0082279A" w:rsidRPr="008A533F">
              <w:rPr>
                <w:bCs/>
                <w:iCs/>
                <w:lang w:bidi="en-US"/>
              </w:rPr>
              <w:t>Defense; Incident</w:t>
            </w:r>
            <w:r w:rsidRPr="008A533F">
              <w:rPr>
                <w:bCs/>
                <w:iCs/>
                <w:lang w:bidi="en-US"/>
              </w:rPr>
              <w:t xml:space="preserve"> Response and </w:t>
            </w:r>
            <w:r w:rsidRPr="008A533F">
              <w:rPr>
                <w:bCs/>
                <w:iCs/>
                <w:lang w:bidi="en-US"/>
              </w:rPr>
              <w:lastRenderedPageBreak/>
              <w:t xml:space="preserve">Orchestration; Hands-On with Phantom platform; </w:t>
            </w:r>
            <w:r w:rsidRPr="00B55F6B">
              <w:rPr>
                <w:bCs/>
                <w:i/>
                <w:iCs/>
                <w:lang w:bidi="en-US"/>
              </w:rPr>
              <w:t>Lab</w:t>
            </w:r>
            <w:r w:rsidR="009C1E37" w:rsidRPr="00B55F6B">
              <w:rPr>
                <w:bCs/>
                <w:i/>
                <w:iCs/>
                <w:lang w:bidi="en-US"/>
              </w:rPr>
              <w:t>s 13 and</w:t>
            </w:r>
            <w:r w:rsidRPr="00B55F6B">
              <w:rPr>
                <w:bCs/>
                <w:i/>
                <w:iCs/>
                <w:lang w:bidi="en-US"/>
              </w:rPr>
              <w:t xml:space="preserve"> 14</w:t>
            </w:r>
            <w:r w:rsidR="0082279A" w:rsidRPr="008A533F">
              <w:rPr>
                <w:bCs/>
                <w:iCs/>
                <w:lang w:bidi="en-US"/>
              </w:rPr>
              <w:t>; Research Presentations submitted</w:t>
            </w:r>
          </w:p>
        </w:tc>
      </w:tr>
      <w:tr w:rsidR="00945520" w:rsidRPr="00945520" w14:paraId="2B74A644" w14:textId="77777777" w:rsidTr="00827FAC">
        <w:tc>
          <w:tcPr>
            <w:tcW w:w="3183" w:type="dxa"/>
            <w:tcBorders>
              <w:top w:val="nil"/>
              <w:left w:val="nil"/>
              <w:bottom w:val="nil"/>
              <w:right w:val="nil"/>
            </w:tcBorders>
            <w:shd w:val="clear" w:color="auto" w:fill="auto"/>
          </w:tcPr>
          <w:p w14:paraId="34D8E73D" w14:textId="296E5160" w:rsidR="00945520" w:rsidRPr="00945520" w:rsidRDefault="00945520" w:rsidP="00E35CB1">
            <w:pPr>
              <w:rPr>
                <w:b/>
                <w:bCs/>
                <w:iCs/>
                <w:lang w:bidi="en-US"/>
              </w:rPr>
            </w:pPr>
            <w:r w:rsidRPr="00945520">
              <w:rPr>
                <w:b/>
                <w:bCs/>
                <w:iCs/>
                <w:lang w:bidi="en-US"/>
              </w:rPr>
              <w:lastRenderedPageBreak/>
              <w:t xml:space="preserve">April </w:t>
            </w:r>
            <w:r w:rsidR="008A533F">
              <w:rPr>
                <w:b/>
                <w:bCs/>
                <w:iCs/>
                <w:lang w:bidi="en-US"/>
              </w:rPr>
              <w:t>2</w:t>
            </w:r>
            <w:r w:rsidR="00FA4079">
              <w:rPr>
                <w:b/>
                <w:bCs/>
                <w:iCs/>
                <w:lang w:bidi="en-US"/>
              </w:rPr>
              <w:t>3</w:t>
            </w:r>
            <w:r w:rsidRPr="00945520">
              <w:rPr>
                <w:b/>
                <w:bCs/>
                <w:iCs/>
                <w:lang w:bidi="en-US"/>
              </w:rPr>
              <w:t>:</w:t>
            </w:r>
          </w:p>
        </w:tc>
        <w:tc>
          <w:tcPr>
            <w:tcW w:w="5457" w:type="dxa"/>
            <w:tcBorders>
              <w:top w:val="nil"/>
              <w:left w:val="nil"/>
              <w:bottom w:val="nil"/>
              <w:right w:val="nil"/>
            </w:tcBorders>
            <w:shd w:val="clear" w:color="auto" w:fill="auto"/>
          </w:tcPr>
          <w:p w14:paraId="002BCD6E" w14:textId="3FA0257F" w:rsidR="00945520" w:rsidRPr="00945520" w:rsidRDefault="008A533F" w:rsidP="00945520">
            <w:pPr>
              <w:rPr>
                <w:bCs/>
                <w:iCs/>
                <w:lang w:bidi="en-US"/>
              </w:rPr>
            </w:pPr>
            <w:r w:rsidRPr="00B55F6B">
              <w:rPr>
                <w:bCs/>
                <w:i/>
                <w:iCs/>
                <w:lang w:bidi="en-US"/>
              </w:rPr>
              <w:t>Lab 15</w:t>
            </w:r>
            <w:r w:rsidRPr="008A533F">
              <w:rPr>
                <w:bCs/>
                <w:iCs/>
                <w:lang w:bidi="en-US"/>
              </w:rPr>
              <w:t xml:space="preserve"> Forensic Case Capstone; Legal Forensics Re-Cap; Splunk Intro and Hands-On</w:t>
            </w:r>
            <w:r w:rsidR="0082279A">
              <w:rPr>
                <w:bCs/>
                <w:iCs/>
                <w:lang w:bidi="en-US"/>
              </w:rPr>
              <w:t>; Research Presentation peer reviews</w:t>
            </w:r>
          </w:p>
        </w:tc>
      </w:tr>
      <w:tr w:rsidR="00945520" w:rsidRPr="00945520" w14:paraId="09DED715" w14:textId="77777777" w:rsidTr="00827FAC">
        <w:tc>
          <w:tcPr>
            <w:tcW w:w="3183" w:type="dxa"/>
            <w:tcBorders>
              <w:top w:val="nil"/>
              <w:bottom w:val="nil"/>
            </w:tcBorders>
            <w:shd w:val="clear" w:color="auto" w:fill="BDD6EE" w:themeFill="accent1" w:themeFillTint="66"/>
          </w:tcPr>
          <w:p w14:paraId="351B461D" w14:textId="7387444E" w:rsidR="00945520" w:rsidRPr="00945520" w:rsidRDefault="00FA4079" w:rsidP="00E35CB1">
            <w:pPr>
              <w:rPr>
                <w:b/>
                <w:bCs/>
                <w:iCs/>
                <w:lang w:bidi="en-US"/>
              </w:rPr>
            </w:pPr>
            <w:r>
              <w:rPr>
                <w:b/>
                <w:bCs/>
                <w:iCs/>
                <w:lang w:bidi="en-US"/>
              </w:rPr>
              <w:t>April</w:t>
            </w:r>
            <w:r w:rsidR="008A533F">
              <w:rPr>
                <w:b/>
                <w:bCs/>
                <w:iCs/>
                <w:lang w:bidi="en-US"/>
              </w:rPr>
              <w:t xml:space="preserve"> </w:t>
            </w:r>
            <w:r>
              <w:rPr>
                <w:b/>
                <w:bCs/>
                <w:iCs/>
                <w:lang w:bidi="en-US"/>
              </w:rPr>
              <w:t>30</w:t>
            </w:r>
            <w:r w:rsidR="00945520" w:rsidRPr="00945520">
              <w:rPr>
                <w:b/>
                <w:bCs/>
                <w:iCs/>
                <w:lang w:bidi="en-US"/>
              </w:rPr>
              <w:t>:</w:t>
            </w:r>
          </w:p>
        </w:tc>
        <w:tc>
          <w:tcPr>
            <w:tcW w:w="5457" w:type="dxa"/>
            <w:tcBorders>
              <w:top w:val="nil"/>
              <w:bottom w:val="nil"/>
            </w:tcBorders>
            <w:shd w:val="clear" w:color="auto" w:fill="BDD6EE" w:themeFill="accent1" w:themeFillTint="66"/>
          </w:tcPr>
          <w:p w14:paraId="725D8C5E" w14:textId="2CFA02A7" w:rsidR="00945520" w:rsidRPr="00945520" w:rsidRDefault="008A533F" w:rsidP="00945520">
            <w:pPr>
              <w:rPr>
                <w:bCs/>
                <w:iCs/>
                <w:lang w:bidi="en-US"/>
              </w:rPr>
            </w:pPr>
            <w:r>
              <w:rPr>
                <w:bCs/>
                <w:iCs/>
                <w:lang w:bidi="en-US"/>
              </w:rPr>
              <w:t xml:space="preserve">Semester Wrap-Up; </w:t>
            </w:r>
            <w:r w:rsidRPr="00B55F6B">
              <w:rPr>
                <w:bCs/>
                <w:i/>
                <w:iCs/>
                <w:lang w:bidi="en-US"/>
              </w:rPr>
              <w:t xml:space="preserve">Final Exam due May </w:t>
            </w:r>
            <w:r w:rsidR="00FA4079">
              <w:rPr>
                <w:bCs/>
                <w:i/>
                <w:iCs/>
                <w:lang w:bidi="en-US"/>
              </w:rPr>
              <w:t>7</w:t>
            </w:r>
          </w:p>
        </w:tc>
      </w:tr>
    </w:tbl>
    <w:p w14:paraId="7AB48240" w14:textId="77777777" w:rsidR="00945520" w:rsidRDefault="00945520" w:rsidP="0020146A"/>
    <w:p w14:paraId="7A3F5894" w14:textId="1C266DB8" w:rsidR="0020146A" w:rsidRDefault="000064A4" w:rsidP="0020146A">
      <w:pPr>
        <w:pStyle w:val="Heading1"/>
        <w:rPr>
          <w:shd w:val="clear" w:color="auto" w:fill="FFFFFF"/>
        </w:rPr>
      </w:pPr>
      <w:r>
        <w:rPr>
          <w:shd w:val="clear" w:color="auto" w:fill="FFFFFF"/>
        </w:rPr>
        <w:t>Assignments</w:t>
      </w:r>
    </w:p>
    <w:p w14:paraId="793A0891" w14:textId="0AB5B595" w:rsidR="000064A4" w:rsidRPr="000064A4" w:rsidRDefault="00137C4C" w:rsidP="000064A4">
      <w:pPr>
        <w:rPr>
          <w:lang w:bidi="en-US"/>
        </w:rPr>
      </w:pPr>
      <w:r>
        <w:rPr>
          <w:lang w:bidi="en-US"/>
        </w:rPr>
        <w:t xml:space="preserve">Assignments </w:t>
      </w:r>
      <w:r w:rsidR="00696724">
        <w:rPr>
          <w:lang w:bidi="en-US"/>
        </w:rPr>
        <w:t xml:space="preserve">and Labs for </w:t>
      </w:r>
      <w:r>
        <w:rPr>
          <w:lang w:bidi="en-US"/>
        </w:rPr>
        <w:t xml:space="preserve">this course will be distributed throughout the course and typically be due within 1 to 2 weeks from the class at which they are </w:t>
      </w:r>
      <w:r w:rsidR="00696724">
        <w:rPr>
          <w:lang w:bidi="en-US"/>
        </w:rPr>
        <w:t>assigned</w:t>
      </w:r>
      <w:r>
        <w:rPr>
          <w:lang w:bidi="en-US"/>
        </w:rPr>
        <w:t xml:space="preserve">. </w:t>
      </w:r>
      <w:r w:rsidR="00FF233F">
        <w:rPr>
          <w:lang w:bidi="en-US"/>
        </w:rPr>
        <w:t>Detailed preparation and submission instructions will be provided when the assignment is made available.</w:t>
      </w:r>
    </w:p>
    <w:p w14:paraId="426788F4" w14:textId="4D857950" w:rsidR="000064A4" w:rsidRDefault="00DC254D" w:rsidP="000064A4">
      <w:pPr>
        <w:pStyle w:val="Heading2"/>
        <w:rPr>
          <w:lang w:bidi="en-US"/>
        </w:rPr>
      </w:pPr>
      <w:r>
        <w:rPr>
          <w:lang w:bidi="en-US"/>
        </w:rPr>
        <w:t>Virtual Labs</w:t>
      </w:r>
    </w:p>
    <w:p w14:paraId="7FCF4ECA" w14:textId="77E1ED0F" w:rsidR="00271B78" w:rsidRPr="00271B78" w:rsidRDefault="001A359C" w:rsidP="00271B78">
      <w:pPr>
        <w:rPr>
          <w:lang w:bidi="en-US"/>
        </w:rPr>
      </w:pPr>
      <w:r>
        <w:rPr>
          <w:lang w:bidi="en-US"/>
        </w:rPr>
        <w:t xml:space="preserve">A link to enroll in the </w:t>
      </w:r>
      <w:r w:rsidR="00696724">
        <w:rPr>
          <w:lang w:bidi="en-US"/>
        </w:rPr>
        <w:t>InfoSec Security Labs offering</w:t>
      </w:r>
      <w:r>
        <w:rPr>
          <w:lang w:bidi="en-US"/>
        </w:rPr>
        <w:t xml:space="preserve"> will be provided in the first class</w:t>
      </w:r>
      <w:r w:rsidR="008E511A">
        <w:rPr>
          <w:lang w:bidi="en-US"/>
        </w:rPr>
        <w:t>.</w:t>
      </w:r>
      <w:r>
        <w:rPr>
          <w:lang w:bidi="en-US"/>
        </w:rPr>
        <w:t xml:space="preserve"> </w:t>
      </w:r>
      <w:r w:rsidR="00696724">
        <w:rPr>
          <w:lang w:bidi="en-US"/>
        </w:rPr>
        <w:t>There are 15 labs in all and to some degree later labs build on the skills acquired in the earlier labs</w:t>
      </w:r>
      <w:r>
        <w:rPr>
          <w:lang w:bidi="en-US"/>
        </w:rPr>
        <w:t>.</w:t>
      </w:r>
      <w:r w:rsidR="00696724">
        <w:rPr>
          <w:lang w:bidi="en-US"/>
        </w:rPr>
        <w:t xml:space="preserve"> Lab reports will be required for each lab that will include screen shots captured while you are taking the lab along with answers to questions about what you learn/discover while executing the lab instructions.</w:t>
      </w:r>
    </w:p>
    <w:p w14:paraId="6CE95E8A" w14:textId="50C6FDD9" w:rsidR="000064A4" w:rsidRPr="000064A4" w:rsidRDefault="00DC254D" w:rsidP="000064A4">
      <w:pPr>
        <w:pStyle w:val="Heading2"/>
        <w:rPr>
          <w:lang w:bidi="en-US"/>
        </w:rPr>
      </w:pPr>
      <w:r>
        <w:rPr>
          <w:lang w:bidi="en-US"/>
        </w:rPr>
        <w:t>Quizzes</w:t>
      </w:r>
    </w:p>
    <w:p w14:paraId="4FDCCB6B" w14:textId="3FCE336A" w:rsidR="000064A4" w:rsidRPr="000064A4" w:rsidRDefault="00696724" w:rsidP="000064A4">
      <w:pPr>
        <w:rPr>
          <w:lang w:bidi="en-US"/>
        </w:rPr>
      </w:pPr>
      <w:r>
        <w:rPr>
          <w:lang w:bidi="en-US"/>
        </w:rPr>
        <w:t>Material for quizzes (</w:t>
      </w:r>
      <w:r w:rsidR="00D356E9">
        <w:rPr>
          <w:lang w:bidi="en-US"/>
        </w:rPr>
        <w:t>4</w:t>
      </w:r>
      <w:r>
        <w:rPr>
          <w:lang w:bidi="en-US"/>
        </w:rPr>
        <w:t xml:space="preserve"> in all) will be drawn from the text book’s topics as well as additional material brought to your attention throughout the semester.</w:t>
      </w:r>
      <w:r w:rsidR="00D356E9">
        <w:rPr>
          <w:lang w:bidi="en-US"/>
        </w:rPr>
        <w:t xml:space="preserve"> Recent emerging events and approaches related to forensics </w:t>
      </w:r>
      <w:r w:rsidR="005868A2">
        <w:rPr>
          <w:lang w:bidi="en-US"/>
        </w:rPr>
        <w:t>are</w:t>
      </w:r>
      <w:r w:rsidR="00D356E9">
        <w:rPr>
          <w:lang w:bidi="en-US"/>
        </w:rPr>
        <w:t xml:space="preserve"> </w:t>
      </w:r>
      <w:r w:rsidR="005868A2">
        <w:rPr>
          <w:lang w:bidi="en-US"/>
        </w:rPr>
        <w:t>often made</w:t>
      </w:r>
      <w:r w:rsidR="00D356E9">
        <w:rPr>
          <w:lang w:bidi="en-US"/>
        </w:rPr>
        <w:t xml:space="preserve"> available through recorded webinars. At least one quiz will ask for your reaction and opinion after watching one of these webinars.</w:t>
      </w:r>
    </w:p>
    <w:p w14:paraId="276A1AD4" w14:textId="6294AA62" w:rsidR="00137C4C" w:rsidRDefault="00137C4C" w:rsidP="00137C4C">
      <w:pPr>
        <w:pStyle w:val="Heading2"/>
        <w:rPr>
          <w:lang w:bidi="en-US"/>
        </w:rPr>
      </w:pPr>
      <w:r>
        <w:rPr>
          <w:lang w:bidi="en-US"/>
        </w:rPr>
        <w:t xml:space="preserve">Semester </w:t>
      </w:r>
      <w:r w:rsidR="00C11D89">
        <w:rPr>
          <w:lang w:bidi="en-US"/>
        </w:rPr>
        <w:t>Presentation</w:t>
      </w:r>
      <w:r>
        <w:rPr>
          <w:lang w:bidi="en-US"/>
        </w:rPr>
        <w:t xml:space="preserve"> Project</w:t>
      </w:r>
    </w:p>
    <w:p w14:paraId="5D706F4B" w14:textId="7332BCBB" w:rsidR="00137C4C" w:rsidRDefault="00C11D89" w:rsidP="00137C4C">
      <w:pPr>
        <w:rPr>
          <w:lang w:bidi="en-US"/>
        </w:rPr>
      </w:pPr>
      <w:r>
        <w:rPr>
          <w:lang w:bidi="en-US"/>
        </w:rPr>
        <w:t>The instructor must approve presentation topics. Suggestions will be given during the semester.</w:t>
      </w:r>
      <w:r w:rsidR="00696724">
        <w:rPr>
          <w:lang w:bidi="en-US"/>
        </w:rPr>
        <w:t xml:space="preserve"> You will submit a recorded presentation </w:t>
      </w:r>
      <w:r w:rsidR="006E657F">
        <w:rPr>
          <w:lang w:bidi="en-US"/>
        </w:rPr>
        <w:t xml:space="preserve">via the VoiceThread mechanism on Blackboard </w:t>
      </w:r>
      <w:r w:rsidR="00696724">
        <w:rPr>
          <w:lang w:bidi="en-US"/>
        </w:rPr>
        <w:t xml:space="preserve">of your research results. An outline of the expected content for the presentation will be </w:t>
      </w:r>
      <w:r w:rsidR="00D356E9">
        <w:rPr>
          <w:lang w:bidi="en-US"/>
        </w:rPr>
        <w:t>described shortly after all topic proposals have been made and approved.</w:t>
      </w:r>
      <w:r w:rsidR="006E657F">
        <w:rPr>
          <w:lang w:bidi="en-US"/>
        </w:rPr>
        <w:t xml:space="preserve"> You will also perform at least 2 peer reviews of other student presentations.</w:t>
      </w:r>
    </w:p>
    <w:p w14:paraId="39A7DACF" w14:textId="7CC28B2A" w:rsidR="00137C4C" w:rsidRDefault="00696724" w:rsidP="00137C4C">
      <w:pPr>
        <w:pStyle w:val="Heading2"/>
        <w:rPr>
          <w:lang w:bidi="en-US"/>
        </w:rPr>
      </w:pPr>
      <w:r>
        <w:rPr>
          <w:lang w:bidi="en-US"/>
        </w:rPr>
        <w:t>Final Exam</w:t>
      </w:r>
    </w:p>
    <w:p w14:paraId="092CB804" w14:textId="7C421739" w:rsidR="00375F26" w:rsidRDefault="00696724" w:rsidP="00375F26">
      <w:pPr>
        <w:rPr>
          <w:lang w:bidi="en-US"/>
        </w:rPr>
      </w:pPr>
      <w:r>
        <w:rPr>
          <w:lang w:bidi="en-US"/>
        </w:rPr>
        <w:t>While the exam will not include a large number of qu</w:t>
      </w:r>
      <w:r w:rsidR="00D356E9">
        <w:rPr>
          <w:lang w:bidi="en-US"/>
        </w:rPr>
        <w:t>estions, it will be comprehensiv</w:t>
      </w:r>
      <w:r>
        <w:rPr>
          <w:lang w:bidi="en-US"/>
        </w:rPr>
        <w:t>e</w:t>
      </w:r>
      <w:r w:rsidR="00C84723">
        <w:rPr>
          <w:lang w:bidi="en-US"/>
        </w:rPr>
        <w:t>.</w:t>
      </w:r>
    </w:p>
    <w:p w14:paraId="4716A74A" w14:textId="1F9CD3D8" w:rsidR="000064A4" w:rsidRPr="000064A4" w:rsidRDefault="00C6543F" w:rsidP="000064A4">
      <w:pPr>
        <w:pStyle w:val="Heading1"/>
        <w:rPr>
          <w:lang w:bidi="en-US"/>
        </w:rPr>
      </w:pPr>
      <w:r>
        <w:rPr>
          <w:lang w:bidi="en-US"/>
        </w:rPr>
        <w:t>Deadlines</w:t>
      </w:r>
    </w:p>
    <w:p w14:paraId="4B1C97D3" w14:textId="76B2F82F" w:rsidR="000064A4" w:rsidRPr="000064A4" w:rsidRDefault="00C11D89" w:rsidP="000064A4">
      <w:pPr>
        <w:rPr>
          <w:lang w:bidi="en-US"/>
        </w:rPr>
      </w:pPr>
      <w:r>
        <w:rPr>
          <w:lang w:bidi="en-US"/>
        </w:rPr>
        <w:t xml:space="preserve">Submissions of exam and assignment response are done via Blackboard by midnight of the posted due </w:t>
      </w:r>
      <w:proofErr w:type="spellStart"/>
      <w:r>
        <w:rPr>
          <w:lang w:bidi="en-US"/>
        </w:rPr>
        <w:t>or</w:t>
      </w:r>
      <w:proofErr w:type="spellEnd"/>
      <w:r>
        <w:rPr>
          <w:lang w:bidi="en-US"/>
        </w:rPr>
        <w:t xml:space="preserve"> completion date. </w:t>
      </w:r>
      <w:r w:rsidR="000064A4" w:rsidRPr="000064A4">
        <w:rPr>
          <w:lang w:bidi="en-US"/>
        </w:rPr>
        <w:t>Late submission of any</w:t>
      </w:r>
      <w:r>
        <w:rPr>
          <w:lang w:bidi="en-US"/>
        </w:rPr>
        <w:t xml:space="preserve"> lab or</w:t>
      </w:r>
      <w:r w:rsidR="000064A4" w:rsidRPr="000064A4">
        <w:rPr>
          <w:lang w:bidi="en-US"/>
        </w:rPr>
        <w:t xml:space="preserve"> assignment </w:t>
      </w:r>
      <w:r w:rsidR="000064A4">
        <w:rPr>
          <w:lang w:bidi="en-US"/>
        </w:rPr>
        <w:t>may</w:t>
      </w:r>
      <w:r w:rsidR="000064A4" w:rsidRPr="000064A4">
        <w:rPr>
          <w:lang w:bidi="en-US"/>
        </w:rPr>
        <w:t xml:space="preserve"> be subject to a deduction of 2 percentage </w:t>
      </w:r>
      <w:r w:rsidR="000064A4">
        <w:rPr>
          <w:lang w:bidi="en-US"/>
        </w:rPr>
        <w:t xml:space="preserve">points from the </w:t>
      </w:r>
      <w:r w:rsidR="000064A4" w:rsidRPr="000064A4">
        <w:rPr>
          <w:lang w:bidi="en-US"/>
        </w:rPr>
        <w:t xml:space="preserve">grade </w:t>
      </w:r>
      <w:r w:rsidR="000064A4">
        <w:rPr>
          <w:lang w:bidi="en-US"/>
        </w:rPr>
        <w:t xml:space="preserve">for the late </w:t>
      </w:r>
      <w:r>
        <w:rPr>
          <w:lang w:bidi="en-US"/>
        </w:rPr>
        <w:t xml:space="preserve">lab or </w:t>
      </w:r>
      <w:r w:rsidR="000064A4">
        <w:rPr>
          <w:lang w:bidi="en-US"/>
        </w:rPr>
        <w:t xml:space="preserve">assignment </w:t>
      </w:r>
      <w:r w:rsidR="000064A4" w:rsidRPr="000064A4">
        <w:rPr>
          <w:lang w:bidi="en-US"/>
        </w:rPr>
        <w:t xml:space="preserve">per business day per offense.  </w:t>
      </w:r>
      <w:r>
        <w:rPr>
          <w:lang w:bidi="en-US"/>
        </w:rPr>
        <w:t>For example, for a</w:t>
      </w:r>
      <w:r w:rsidR="00241CA1">
        <w:rPr>
          <w:lang w:bidi="en-US"/>
        </w:rPr>
        <w:t xml:space="preserve"> </w:t>
      </w:r>
      <w:r>
        <w:rPr>
          <w:lang w:bidi="en-US"/>
        </w:rPr>
        <w:t>lab</w:t>
      </w:r>
      <w:r w:rsidR="00241CA1">
        <w:rPr>
          <w:lang w:bidi="en-US"/>
        </w:rPr>
        <w:t xml:space="preserve"> worth 10 points, 0.2 points could be deducted per day. </w:t>
      </w:r>
      <w:r w:rsidR="000064A4" w:rsidRPr="000064A4">
        <w:rPr>
          <w:lang w:bidi="en-US"/>
        </w:rPr>
        <w:t xml:space="preserve">This penalty will be deducted from the </w:t>
      </w:r>
      <w:r>
        <w:rPr>
          <w:lang w:bidi="en-US"/>
        </w:rPr>
        <w:t>lab/</w:t>
      </w:r>
      <w:r w:rsidR="000064A4">
        <w:rPr>
          <w:lang w:bidi="en-US"/>
        </w:rPr>
        <w:t>assignment</w:t>
      </w:r>
      <w:r w:rsidR="000064A4" w:rsidRPr="000064A4">
        <w:rPr>
          <w:lang w:bidi="en-US"/>
        </w:rPr>
        <w:t xml:space="preserve"> grade as determined by the other course requirements.</w:t>
      </w:r>
    </w:p>
    <w:p w14:paraId="64C583D4" w14:textId="3A54BA07" w:rsidR="00A34209" w:rsidRDefault="00C6543F" w:rsidP="00C6543F">
      <w:pPr>
        <w:pStyle w:val="Heading1"/>
      </w:pPr>
      <w:r>
        <w:t>Prerequisites</w:t>
      </w:r>
    </w:p>
    <w:p w14:paraId="5E77CB3A" w14:textId="79B676B8" w:rsidR="00C6543F" w:rsidRPr="00C6543F" w:rsidRDefault="00C6543F" w:rsidP="00C6543F">
      <w:r>
        <w:t xml:space="preserve">There </w:t>
      </w:r>
      <w:r w:rsidR="00F20FF7">
        <w:t>are two</w:t>
      </w:r>
      <w:r>
        <w:t xml:space="preserve"> catalog-noted pre-requisite</w:t>
      </w:r>
      <w:r w:rsidR="00E35CB1">
        <w:t>s for ECE 8496</w:t>
      </w:r>
      <w:r w:rsidR="001B2779">
        <w:t>. They are</w:t>
      </w:r>
      <w:r w:rsidR="00F20FF7">
        <w:t xml:space="preserve"> ECE 8484</w:t>
      </w:r>
      <w:r w:rsidR="00E35CB1">
        <w:t>:</w:t>
      </w:r>
      <w:r w:rsidR="00F20FF7">
        <w:t xml:space="preserve"> Cybersecurity Threats and Defense, and ECE </w:t>
      </w:r>
      <w:r>
        <w:t xml:space="preserve"> </w:t>
      </w:r>
      <w:r w:rsidR="00F20FF7">
        <w:t xml:space="preserve">8476: Cryptography and Network Security. </w:t>
      </w:r>
      <w:r>
        <w:t xml:space="preserve">I have been inclined to </w:t>
      </w:r>
      <w:r w:rsidR="00F20FF7">
        <w:t xml:space="preserve">routinely </w:t>
      </w:r>
      <w:r>
        <w:t xml:space="preserve">waive </w:t>
      </w:r>
      <w:r w:rsidR="00F20FF7">
        <w:t>ECE 8476</w:t>
      </w:r>
      <w:r>
        <w:t xml:space="preserve"> for the </w:t>
      </w:r>
      <w:r w:rsidR="00F20FF7">
        <w:t>initial</w:t>
      </w:r>
      <w:r>
        <w:t xml:space="preserve"> offering</w:t>
      </w:r>
      <w:r w:rsidR="00F20FF7">
        <w:t>s</w:t>
      </w:r>
      <w:r>
        <w:t xml:space="preserve"> of </w:t>
      </w:r>
      <w:r w:rsidR="00F20FF7">
        <w:t>this</w:t>
      </w:r>
      <w:r>
        <w:t xml:space="preserve"> course</w:t>
      </w:r>
      <w:r w:rsidR="00F20FF7">
        <w:t xml:space="preserve"> but students should not begin their Cybersecurity course program </w:t>
      </w:r>
      <w:r w:rsidR="00F20FF7">
        <w:lastRenderedPageBreak/>
        <w:t>with a course such as Computer Forensics – ECE 8484 is a good beginning course</w:t>
      </w:r>
      <w:r>
        <w:t xml:space="preserve">. </w:t>
      </w:r>
      <w:r w:rsidR="00F20FF7">
        <w:t>Future versions of this course may require stricter enforcement of the noted prerequisites</w:t>
      </w:r>
      <w:r>
        <w:t>.</w:t>
      </w:r>
      <w:r w:rsidR="00E35CB1">
        <w:t xml:space="preserve"> Consultation with the instructor is always a good idea if either of the prerequisite</w:t>
      </w:r>
      <w:r w:rsidR="001B2779">
        <w:t>s</w:t>
      </w:r>
      <w:r w:rsidR="00E35CB1">
        <w:t xml:space="preserve"> (or related) courses are missing from a student’s background.</w:t>
      </w:r>
    </w:p>
    <w:sectPr w:rsidR="00C6543F" w:rsidRPr="00C6543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drea Welker" w:date="2017-07-25T13:48:00Z" w:initials="AW">
    <w:p w14:paraId="60F3E93B" w14:textId="339D4EEA" w:rsidR="0020146A" w:rsidRDefault="0020146A">
      <w:pPr>
        <w:pStyle w:val="CommentText"/>
      </w:pPr>
      <w:r>
        <w:rPr>
          <w:rStyle w:val="CommentReference"/>
        </w:rPr>
        <w:annotationRef/>
      </w:r>
      <w:r>
        <w:t>Mandatory section</w:t>
      </w:r>
    </w:p>
  </w:comment>
  <w:comment w:id="1" w:author="Andrea Welker" w:date="2017-07-25T13:48:00Z" w:initials="AW">
    <w:p w14:paraId="34E92D5E" w14:textId="353C20AE" w:rsidR="0020146A" w:rsidRDefault="0020146A">
      <w:pPr>
        <w:pStyle w:val="CommentText"/>
      </w:pPr>
      <w:r>
        <w:rPr>
          <w:rStyle w:val="CommentReference"/>
        </w:rPr>
        <w:annotationRef/>
      </w:r>
      <w:r>
        <w:t>Mandatory section</w:t>
      </w:r>
    </w:p>
  </w:comment>
  <w:comment w:id="2" w:author="Andrea Welker" w:date="2017-07-25T13:48:00Z" w:initials="AW">
    <w:p w14:paraId="5EBE9331" w14:textId="6AAB493F" w:rsidR="0020146A" w:rsidRDefault="0020146A">
      <w:pPr>
        <w:pStyle w:val="CommentText"/>
      </w:pPr>
      <w:r>
        <w:rPr>
          <w:rStyle w:val="CommentReference"/>
        </w:rPr>
        <w:annotationRef/>
      </w:r>
      <w:r>
        <w:t>Mandatory section</w:t>
      </w:r>
      <w:r w:rsidR="006E11D5">
        <w:t>, I recommend at least two to three hours per week</w:t>
      </w:r>
    </w:p>
  </w:comment>
  <w:comment w:id="3" w:author="Andrea Welker" w:date="2017-07-25T13:49:00Z" w:initials="AW">
    <w:p w14:paraId="7A40D57A" w14:textId="52CF0A41" w:rsidR="0020146A" w:rsidRDefault="0020146A">
      <w:pPr>
        <w:pStyle w:val="CommentText"/>
      </w:pPr>
      <w:r>
        <w:rPr>
          <w:rStyle w:val="CommentReference"/>
        </w:rPr>
        <w:annotationRef/>
      </w:r>
      <w:r>
        <w:t>Mandatory section</w:t>
      </w:r>
      <w:r w:rsidR="006D4F3D">
        <w:t xml:space="preserve"> – it would be beneficial to link these to ABET a-k</w:t>
      </w:r>
    </w:p>
  </w:comment>
  <w:comment w:id="4" w:author="Andrea Welker" w:date="2017-07-25T12:57:00Z" w:initials="AW">
    <w:p w14:paraId="63072086" w14:textId="4F72CB0D" w:rsidR="0050401F" w:rsidRDefault="0050401F">
      <w:pPr>
        <w:pStyle w:val="CommentText"/>
      </w:pPr>
      <w:r>
        <w:rPr>
          <w:rStyle w:val="CommentReference"/>
        </w:rPr>
        <w:annotationRef/>
      </w:r>
      <w:r>
        <w:t>Your grading policy is entirely up to you</w:t>
      </w:r>
      <w:r w:rsidR="0020146A">
        <w:t>, but you must have this section</w:t>
      </w:r>
      <w:r>
        <w:t xml:space="preserve">. This is only an example. Your grading policy must be clear and understandable. You may have more inputs or less (e.g. maybe you include class participation but don’t have quizzes, that is completely fine). </w:t>
      </w:r>
    </w:p>
    <w:p w14:paraId="1C92EA00" w14:textId="77777777" w:rsidR="00892CFD" w:rsidRDefault="00892CFD">
      <w:pPr>
        <w:pStyle w:val="CommentText"/>
      </w:pPr>
    </w:p>
    <w:p w14:paraId="4B27D312" w14:textId="51D947E8" w:rsidR="00892CFD" w:rsidRDefault="00892CFD">
      <w:pPr>
        <w:pStyle w:val="CommentText"/>
      </w:pPr>
      <w:r>
        <w:t>Again, the numerical to letter grade determination is up to you, this is an example</w:t>
      </w:r>
    </w:p>
  </w:comment>
  <w:comment w:id="5" w:author="Andrea Welker" w:date="2017-07-25T13:16:00Z" w:initials="AW">
    <w:p w14:paraId="5A998799" w14:textId="4503C77E" w:rsidR="0025095D" w:rsidRDefault="0025095D">
      <w:pPr>
        <w:pStyle w:val="CommentText"/>
      </w:pPr>
      <w:r>
        <w:rPr>
          <w:rStyle w:val="CommentReference"/>
        </w:rPr>
        <w:annotationRef/>
      </w:r>
      <w:r>
        <w:t>Mandatory wording</w:t>
      </w:r>
    </w:p>
  </w:comment>
  <w:comment w:id="6" w:author="Andrea Welker" w:date="2017-07-25T13:49:00Z" w:initials="AW">
    <w:p w14:paraId="01E49010" w14:textId="56404261" w:rsidR="0020146A" w:rsidRDefault="0020146A">
      <w:pPr>
        <w:pStyle w:val="CommentText"/>
      </w:pPr>
      <w:r>
        <w:rPr>
          <w:rStyle w:val="CommentReference"/>
        </w:rPr>
        <w:annotationRef/>
      </w:r>
      <w:r>
        <w:t>Mandatory section</w:t>
      </w:r>
    </w:p>
  </w:comment>
  <w:comment w:id="8" w:author="Andrea Welker" w:date="2017-07-25T13:37:00Z" w:initials="AW">
    <w:p w14:paraId="7A8C7CC8" w14:textId="0320524F" w:rsidR="00EE68A6" w:rsidRDefault="00EE68A6">
      <w:pPr>
        <w:pStyle w:val="CommentText"/>
      </w:pPr>
      <w:r>
        <w:rPr>
          <w:rStyle w:val="CommentReference"/>
        </w:rPr>
        <w:annotationRef/>
      </w:r>
      <w:r>
        <w:t xml:space="preserve">You may wish to add an additional sentence or two after the exam guidelines regarding colluding on homework, laboratory reports, </w:t>
      </w:r>
      <w:proofErr w:type="spellStart"/>
      <w:r>
        <w:t>etc</w:t>
      </w:r>
      <w:proofErr w:type="spellEnd"/>
      <w:r>
        <w:t xml:space="preserve"> depending on your class. Being explicit is key!</w:t>
      </w:r>
    </w:p>
  </w:comment>
  <w:comment w:id="7" w:author="Andrea Welker" w:date="2017-07-25T13:38:00Z" w:initials="AW">
    <w:p w14:paraId="1583DE1D" w14:textId="3B1B2EED" w:rsidR="00EE68A6" w:rsidRDefault="00EE68A6">
      <w:pPr>
        <w:pStyle w:val="CommentText"/>
      </w:pPr>
      <w:r>
        <w:rPr>
          <w:rStyle w:val="CommentReference"/>
        </w:rPr>
        <w:annotationRef/>
      </w:r>
      <w:r>
        <w:t>Mandatory wording – you can add onto it</w:t>
      </w:r>
    </w:p>
  </w:comment>
  <w:comment w:id="10" w:author="Andrea Welker" w:date="2017-07-25T13:46:00Z" w:initials="AW">
    <w:p w14:paraId="10BE03E8" w14:textId="5DDF7763" w:rsidR="00377D8C" w:rsidRDefault="00377D8C">
      <w:pPr>
        <w:pStyle w:val="CommentText"/>
      </w:pPr>
      <w:r>
        <w:rPr>
          <w:rStyle w:val="CommentReference"/>
        </w:rPr>
        <w:annotationRef/>
      </w:r>
      <w:r>
        <w:t xml:space="preserve">Mandatory </w:t>
      </w:r>
      <w:r w:rsidR="0020146A">
        <w:t>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F3E93B" w15:done="0"/>
  <w15:commentEx w15:paraId="34E92D5E" w15:done="0"/>
  <w15:commentEx w15:paraId="5EBE9331" w15:done="0"/>
  <w15:commentEx w15:paraId="7A40D57A" w15:done="0"/>
  <w15:commentEx w15:paraId="4B27D312" w15:done="0"/>
  <w15:commentEx w15:paraId="5A998799" w15:done="0"/>
  <w15:commentEx w15:paraId="01E49010" w15:done="0"/>
  <w15:commentEx w15:paraId="7A8C7CC8" w15:done="0"/>
  <w15:commentEx w15:paraId="1583DE1D" w15:done="0"/>
  <w15:commentEx w15:paraId="10BE03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F3E93B" w16cid:durableId="1FE9C8AE"/>
  <w16cid:commentId w16cid:paraId="34E92D5E" w16cid:durableId="1FE9C8AF"/>
  <w16cid:commentId w16cid:paraId="5EBE9331" w16cid:durableId="1FE9C8B0"/>
  <w16cid:commentId w16cid:paraId="7A40D57A" w16cid:durableId="1FE9C8B1"/>
  <w16cid:commentId w16cid:paraId="4B27D312" w16cid:durableId="1FE9C8B2"/>
  <w16cid:commentId w16cid:paraId="5A998799" w16cid:durableId="1FE9C8B3"/>
  <w16cid:commentId w16cid:paraId="01E49010" w16cid:durableId="1FE9C8B4"/>
  <w16cid:commentId w16cid:paraId="7A8C7CC8" w16cid:durableId="1FE9C8B5"/>
  <w16cid:commentId w16cid:paraId="1583DE1D" w16cid:durableId="1FE9C8B6"/>
  <w16cid:commentId w16cid:paraId="10BE03E8" w16cid:durableId="1FE9C8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6637"/>
    <w:multiLevelType w:val="hybridMultilevel"/>
    <w:tmpl w:val="4CD0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46E7"/>
    <w:multiLevelType w:val="hybridMultilevel"/>
    <w:tmpl w:val="AAC0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658A7"/>
    <w:multiLevelType w:val="hybridMultilevel"/>
    <w:tmpl w:val="9666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C1751"/>
    <w:multiLevelType w:val="multilevel"/>
    <w:tmpl w:val="6654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C212C"/>
    <w:multiLevelType w:val="hybridMultilevel"/>
    <w:tmpl w:val="8F56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B3F657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41452A8"/>
    <w:multiLevelType w:val="hybridMultilevel"/>
    <w:tmpl w:val="7846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60D82"/>
    <w:multiLevelType w:val="multilevel"/>
    <w:tmpl w:val="EBBE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C64F3F"/>
    <w:multiLevelType w:val="hybridMultilevel"/>
    <w:tmpl w:val="C80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52EDE"/>
    <w:multiLevelType w:val="hybridMultilevel"/>
    <w:tmpl w:val="7A84A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42FEE"/>
    <w:multiLevelType w:val="hybridMultilevel"/>
    <w:tmpl w:val="F8162972"/>
    <w:lvl w:ilvl="0" w:tplc="04090001">
      <w:start w:val="1"/>
      <w:numFmt w:val="bullet"/>
      <w:lvlText w:val=""/>
      <w:lvlJc w:val="left"/>
      <w:pPr>
        <w:ind w:left="720" w:hanging="360"/>
      </w:pPr>
      <w:rPr>
        <w:rFonts w:ascii="Symbol" w:hAnsi="Symbol" w:hint="default"/>
      </w:rPr>
    </w:lvl>
    <w:lvl w:ilvl="1" w:tplc="6D8CF640">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245908"/>
    <w:multiLevelType w:val="hybridMultilevel"/>
    <w:tmpl w:val="A25E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204E6"/>
    <w:multiLevelType w:val="hybridMultilevel"/>
    <w:tmpl w:val="B3400FE6"/>
    <w:lvl w:ilvl="0" w:tplc="9F9A4CFC">
      <w:start w:val="1"/>
      <w:numFmt w:val="lowerLetter"/>
      <w:lvlText w:val="(%1)"/>
      <w:lvlJc w:val="left"/>
      <w:pPr>
        <w:tabs>
          <w:tab w:val="num" w:pos="735"/>
        </w:tabs>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73710B1"/>
    <w:multiLevelType w:val="hybridMultilevel"/>
    <w:tmpl w:val="B2644074"/>
    <w:lvl w:ilvl="0" w:tplc="6D06F82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7C4BD3"/>
    <w:multiLevelType w:val="hybridMultilevel"/>
    <w:tmpl w:val="4952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887974"/>
    <w:multiLevelType w:val="hybridMultilevel"/>
    <w:tmpl w:val="40B0233C"/>
    <w:lvl w:ilvl="0" w:tplc="FD74D85C">
      <w:start w:val="1"/>
      <w:numFmt w:val="bullet"/>
      <w:lvlText w:val="•"/>
      <w:lvlJc w:val="left"/>
      <w:pPr>
        <w:tabs>
          <w:tab w:val="num" w:pos="720"/>
        </w:tabs>
        <w:ind w:left="720" w:hanging="360"/>
      </w:pPr>
      <w:rPr>
        <w:rFonts w:ascii="Arial" w:hAnsi="Arial" w:hint="default"/>
      </w:rPr>
    </w:lvl>
    <w:lvl w:ilvl="1" w:tplc="ED98939E" w:tentative="1">
      <w:start w:val="1"/>
      <w:numFmt w:val="bullet"/>
      <w:lvlText w:val="•"/>
      <w:lvlJc w:val="left"/>
      <w:pPr>
        <w:tabs>
          <w:tab w:val="num" w:pos="1440"/>
        </w:tabs>
        <w:ind w:left="1440" w:hanging="360"/>
      </w:pPr>
      <w:rPr>
        <w:rFonts w:ascii="Arial" w:hAnsi="Arial" w:hint="default"/>
      </w:rPr>
    </w:lvl>
    <w:lvl w:ilvl="2" w:tplc="76C874A2" w:tentative="1">
      <w:start w:val="1"/>
      <w:numFmt w:val="bullet"/>
      <w:lvlText w:val="•"/>
      <w:lvlJc w:val="left"/>
      <w:pPr>
        <w:tabs>
          <w:tab w:val="num" w:pos="2160"/>
        </w:tabs>
        <w:ind w:left="2160" w:hanging="360"/>
      </w:pPr>
      <w:rPr>
        <w:rFonts w:ascii="Arial" w:hAnsi="Arial" w:hint="default"/>
      </w:rPr>
    </w:lvl>
    <w:lvl w:ilvl="3" w:tplc="F4283B02" w:tentative="1">
      <w:start w:val="1"/>
      <w:numFmt w:val="bullet"/>
      <w:lvlText w:val="•"/>
      <w:lvlJc w:val="left"/>
      <w:pPr>
        <w:tabs>
          <w:tab w:val="num" w:pos="2880"/>
        </w:tabs>
        <w:ind w:left="2880" w:hanging="360"/>
      </w:pPr>
      <w:rPr>
        <w:rFonts w:ascii="Arial" w:hAnsi="Arial" w:hint="default"/>
      </w:rPr>
    </w:lvl>
    <w:lvl w:ilvl="4" w:tplc="425A0864" w:tentative="1">
      <w:start w:val="1"/>
      <w:numFmt w:val="bullet"/>
      <w:lvlText w:val="•"/>
      <w:lvlJc w:val="left"/>
      <w:pPr>
        <w:tabs>
          <w:tab w:val="num" w:pos="3600"/>
        </w:tabs>
        <w:ind w:left="3600" w:hanging="360"/>
      </w:pPr>
      <w:rPr>
        <w:rFonts w:ascii="Arial" w:hAnsi="Arial" w:hint="default"/>
      </w:rPr>
    </w:lvl>
    <w:lvl w:ilvl="5" w:tplc="51905848" w:tentative="1">
      <w:start w:val="1"/>
      <w:numFmt w:val="bullet"/>
      <w:lvlText w:val="•"/>
      <w:lvlJc w:val="left"/>
      <w:pPr>
        <w:tabs>
          <w:tab w:val="num" w:pos="4320"/>
        </w:tabs>
        <w:ind w:left="4320" w:hanging="360"/>
      </w:pPr>
      <w:rPr>
        <w:rFonts w:ascii="Arial" w:hAnsi="Arial" w:hint="default"/>
      </w:rPr>
    </w:lvl>
    <w:lvl w:ilvl="6" w:tplc="5A08435E" w:tentative="1">
      <w:start w:val="1"/>
      <w:numFmt w:val="bullet"/>
      <w:lvlText w:val="•"/>
      <w:lvlJc w:val="left"/>
      <w:pPr>
        <w:tabs>
          <w:tab w:val="num" w:pos="5040"/>
        </w:tabs>
        <w:ind w:left="5040" w:hanging="360"/>
      </w:pPr>
      <w:rPr>
        <w:rFonts w:ascii="Arial" w:hAnsi="Arial" w:hint="default"/>
      </w:rPr>
    </w:lvl>
    <w:lvl w:ilvl="7" w:tplc="BFE68B84" w:tentative="1">
      <w:start w:val="1"/>
      <w:numFmt w:val="bullet"/>
      <w:lvlText w:val="•"/>
      <w:lvlJc w:val="left"/>
      <w:pPr>
        <w:tabs>
          <w:tab w:val="num" w:pos="5760"/>
        </w:tabs>
        <w:ind w:left="5760" w:hanging="360"/>
      </w:pPr>
      <w:rPr>
        <w:rFonts w:ascii="Arial" w:hAnsi="Arial" w:hint="default"/>
      </w:rPr>
    </w:lvl>
    <w:lvl w:ilvl="8" w:tplc="C01EBFF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11"/>
  </w:num>
  <w:num w:numId="12">
    <w:abstractNumId w:val="3"/>
  </w:num>
  <w:num w:numId="13">
    <w:abstractNumId w:val="0"/>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2"/>
  </w:num>
  <w:num w:numId="18">
    <w:abstractNumId w:val="4"/>
  </w:num>
  <w:num w:numId="19">
    <w:abstractNumId w:val="8"/>
  </w:num>
  <w:num w:numId="20">
    <w:abstractNumId w:val="15"/>
  </w:num>
  <w:num w:numId="21">
    <w:abstractNumId w:val="6"/>
  </w:num>
  <w:num w:numId="22">
    <w:abstractNumId w:val="2"/>
  </w:num>
  <w:num w:numId="23">
    <w:abstractNumId w:val="9"/>
  </w:num>
  <w:num w:numId="24">
    <w:abstractNumId w:val="14"/>
  </w:num>
  <w:num w:numId="25">
    <w:abstractNumId w:val="1"/>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Welker">
    <w15:presenceInfo w15:providerId="AD" w15:userId="S-1-5-21-345065273-4267759515-1182775643-13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AE"/>
    <w:rsid w:val="000064A4"/>
    <w:rsid w:val="00076A75"/>
    <w:rsid w:val="00082D15"/>
    <w:rsid w:val="000A3007"/>
    <w:rsid w:val="000B510A"/>
    <w:rsid w:val="001159AE"/>
    <w:rsid w:val="0013729D"/>
    <w:rsid w:val="00137C4C"/>
    <w:rsid w:val="00165A3C"/>
    <w:rsid w:val="00173DDE"/>
    <w:rsid w:val="001A359C"/>
    <w:rsid w:val="001B2779"/>
    <w:rsid w:val="001C6EFA"/>
    <w:rsid w:val="001D09C8"/>
    <w:rsid w:val="0020146A"/>
    <w:rsid w:val="00201756"/>
    <w:rsid w:val="002262A3"/>
    <w:rsid w:val="00241CA1"/>
    <w:rsid w:val="0025095D"/>
    <w:rsid w:val="00271B78"/>
    <w:rsid w:val="002A378A"/>
    <w:rsid w:val="002C66A5"/>
    <w:rsid w:val="002E3DD2"/>
    <w:rsid w:val="003159AF"/>
    <w:rsid w:val="0033568C"/>
    <w:rsid w:val="00375F26"/>
    <w:rsid w:val="00377D8C"/>
    <w:rsid w:val="00396FB3"/>
    <w:rsid w:val="003D3AA6"/>
    <w:rsid w:val="003F506C"/>
    <w:rsid w:val="00445DD1"/>
    <w:rsid w:val="00451FF6"/>
    <w:rsid w:val="004576A8"/>
    <w:rsid w:val="0049758E"/>
    <w:rsid w:val="004C0DA5"/>
    <w:rsid w:val="0050401F"/>
    <w:rsid w:val="005313E0"/>
    <w:rsid w:val="00542B23"/>
    <w:rsid w:val="005868A2"/>
    <w:rsid w:val="005931AC"/>
    <w:rsid w:val="005A04C2"/>
    <w:rsid w:val="005B0A28"/>
    <w:rsid w:val="005E0F64"/>
    <w:rsid w:val="005F03B5"/>
    <w:rsid w:val="00605DB2"/>
    <w:rsid w:val="00610395"/>
    <w:rsid w:val="00631827"/>
    <w:rsid w:val="006340ED"/>
    <w:rsid w:val="006921C9"/>
    <w:rsid w:val="00693C88"/>
    <w:rsid w:val="00696724"/>
    <w:rsid w:val="006B7983"/>
    <w:rsid w:val="006C422A"/>
    <w:rsid w:val="006D4F3D"/>
    <w:rsid w:val="006D5EC8"/>
    <w:rsid w:val="006E11D5"/>
    <w:rsid w:val="006E657F"/>
    <w:rsid w:val="006F6B18"/>
    <w:rsid w:val="007258EB"/>
    <w:rsid w:val="007274CB"/>
    <w:rsid w:val="007639E4"/>
    <w:rsid w:val="00791CEE"/>
    <w:rsid w:val="007B4215"/>
    <w:rsid w:val="0080741B"/>
    <w:rsid w:val="00811F0A"/>
    <w:rsid w:val="0081595B"/>
    <w:rsid w:val="00815B17"/>
    <w:rsid w:val="00816CFD"/>
    <w:rsid w:val="008179C5"/>
    <w:rsid w:val="0082279A"/>
    <w:rsid w:val="00827FAC"/>
    <w:rsid w:val="00833E09"/>
    <w:rsid w:val="00850743"/>
    <w:rsid w:val="0085179D"/>
    <w:rsid w:val="008659F7"/>
    <w:rsid w:val="00866F43"/>
    <w:rsid w:val="00867E44"/>
    <w:rsid w:val="0087162B"/>
    <w:rsid w:val="00876964"/>
    <w:rsid w:val="00883252"/>
    <w:rsid w:val="00892CFD"/>
    <w:rsid w:val="008A533F"/>
    <w:rsid w:val="008D2474"/>
    <w:rsid w:val="008E3872"/>
    <w:rsid w:val="008E511A"/>
    <w:rsid w:val="008E5FD0"/>
    <w:rsid w:val="0090644E"/>
    <w:rsid w:val="00945520"/>
    <w:rsid w:val="0098070B"/>
    <w:rsid w:val="009A191B"/>
    <w:rsid w:val="009C1656"/>
    <w:rsid w:val="009C1E37"/>
    <w:rsid w:val="009D4DF9"/>
    <w:rsid w:val="00A04B88"/>
    <w:rsid w:val="00A32FDA"/>
    <w:rsid w:val="00A34209"/>
    <w:rsid w:val="00A562DB"/>
    <w:rsid w:val="00A66A60"/>
    <w:rsid w:val="00A7044D"/>
    <w:rsid w:val="00AA2614"/>
    <w:rsid w:val="00B05B88"/>
    <w:rsid w:val="00B23E8F"/>
    <w:rsid w:val="00B458FB"/>
    <w:rsid w:val="00B55F6B"/>
    <w:rsid w:val="00BC75DC"/>
    <w:rsid w:val="00BD2ADA"/>
    <w:rsid w:val="00BE49E9"/>
    <w:rsid w:val="00BF700F"/>
    <w:rsid w:val="00C11D89"/>
    <w:rsid w:val="00C159E1"/>
    <w:rsid w:val="00C26FCF"/>
    <w:rsid w:val="00C31E8D"/>
    <w:rsid w:val="00C625F1"/>
    <w:rsid w:val="00C6543F"/>
    <w:rsid w:val="00C7793A"/>
    <w:rsid w:val="00C84723"/>
    <w:rsid w:val="00C91209"/>
    <w:rsid w:val="00CB0A08"/>
    <w:rsid w:val="00CB5BF9"/>
    <w:rsid w:val="00CD4A7A"/>
    <w:rsid w:val="00CF40BE"/>
    <w:rsid w:val="00D114D6"/>
    <w:rsid w:val="00D20610"/>
    <w:rsid w:val="00D356E9"/>
    <w:rsid w:val="00D51E40"/>
    <w:rsid w:val="00D75482"/>
    <w:rsid w:val="00D86F78"/>
    <w:rsid w:val="00D90BB4"/>
    <w:rsid w:val="00DA79D6"/>
    <w:rsid w:val="00DB0CE4"/>
    <w:rsid w:val="00DB352B"/>
    <w:rsid w:val="00DB4AB5"/>
    <w:rsid w:val="00DB7DA0"/>
    <w:rsid w:val="00DC254D"/>
    <w:rsid w:val="00DF09E2"/>
    <w:rsid w:val="00E079B9"/>
    <w:rsid w:val="00E226C8"/>
    <w:rsid w:val="00E35CB1"/>
    <w:rsid w:val="00E42998"/>
    <w:rsid w:val="00E46046"/>
    <w:rsid w:val="00E86DEC"/>
    <w:rsid w:val="00E920F0"/>
    <w:rsid w:val="00E93091"/>
    <w:rsid w:val="00EB4483"/>
    <w:rsid w:val="00EE68A6"/>
    <w:rsid w:val="00EE7DA7"/>
    <w:rsid w:val="00EF77FC"/>
    <w:rsid w:val="00F06174"/>
    <w:rsid w:val="00F20FF7"/>
    <w:rsid w:val="00F25C7B"/>
    <w:rsid w:val="00F34763"/>
    <w:rsid w:val="00F51B94"/>
    <w:rsid w:val="00F60383"/>
    <w:rsid w:val="00FA4079"/>
    <w:rsid w:val="00FE758D"/>
    <w:rsid w:val="00FF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A354"/>
  <w15:chartTrackingRefBased/>
  <w15:docId w15:val="{FFEE8815-50F7-4C98-BA17-195DBC8F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1E37"/>
  </w:style>
  <w:style w:type="paragraph" w:styleId="Heading1">
    <w:name w:val="heading 1"/>
    <w:basedOn w:val="Normal"/>
    <w:next w:val="Normal"/>
    <w:link w:val="Heading1Char"/>
    <w:uiPriority w:val="9"/>
    <w:qFormat/>
    <w:rsid w:val="001159AE"/>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1159AE"/>
    <w:pPr>
      <w:keepNext/>
      <w:keepLines/>
      <w:spacing w:before="16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1159AE"/>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159A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159A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159A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159A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159A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159A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59AE"/>
    <w:pPr>
      <w:spacing w:after="0"/>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1159AE"/>
    <w:rPr>
      <w:rFonts w:asciiTheme="majorHAnsi" w:eastAsiaTheme="majorEastAsia" w:hAnsiTheme="majorHAnsi" w:cstheme="majorBidi"/>
      <w:color w:val="2E74B5" w:themeColor="accent1" w:themeShade="BF"/>
      <w:spacing w:val="-7"/>
      <w:sz w:val="80"/>
      <w:szCs w:val="80"/>
    </w:rPr>
  </w:style>
  <w:style w:type="character" w:customStyle="1" w:styleId="Heading1Char">
    <w:name w:val="Heading 1 Char"/>
    <w:basedOn w:val="DefaultParagraphFont"/>
    <w:link w:val="Heading1"/>
    <w:uiPriority w:val="9"/>
    <w:rsid w:val="001159AE"/>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1159AE"/>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1159A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159A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159A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159A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159A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159A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159A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159AE"/>
    <w:rPr>
      <w:b/>
      <w:bCs/>
      <w:color w:val="404040" w:themeColor="text1" w:themeTint="BF"/>
      <w:sz w:val="20"/>
      <w:szCs w:val="20"/>
    </w:rPr>
  </w:style>
  <w:style w:type="paragraph" w:styleId="Subtitle">
    <w:name w:val="Subtitle"/>
    <w:basedOn w:val="Normal"/>
    <w:next w:val="Normal"/>
    <w:link w:val="SubtitleChar"/>
    <w:uiPriority w:val="11"/>
    <w:qFormat/>
    <w:rsid w:val="001159AE"/>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159A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159AE"/>
    <w:rPr>
      <w:b/>
      <w:bCs/>
    </w:rPr>
  </w:style>
  <w:style w:type="character" w:styleId="Emphasis">
    <w:name w:val="Emphasis"/>
    <w:basedOn w:val="DefaultParagraphFont"/>
    <w:uiPriority w:val="20"/>
    <w:qFormat/>
    <w:rsid w:val="001159AE"/>
    <w:rPr>
      <w:i/>
      <w:iCs/>
    </w:rPr>
  </w:style>
  <w:style w:type="paragraph" w:styleId="NoSpacing">
    <w:name w:val="No Spacing"/>
    <w:uiPriority w:val="1"/>
    <w:qFormat/>
    <w:rsid w:val="001159AE"/>
    <w:pPr>
      <w:spacing w:after="0"/>
    </w:pPr>
  </w:style>
  <w:style w:type="paragraph" w:styleId="Quote">
    <w:name w:val="Quote"/>
    <w:basedOn w:val="Normal"/>
    <w:next w:val="Normal"/>
    <w:link w:val="QuoteChar"/>
    <w:uiPriority w:val="29"/>
    <w:qFormat/>
    <w:rsid w:val="001159A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159AE"/>
    <w:rPr>
      <w:i/>
      <w:iCs/>
    </w:rPr>
  </w:style>
  <w:style w:type="paragraph" w:styleId="IntenseQuote">
    <w:name w:val="Intense Quote"/>
    <w:basedOn w:val="Normal"/>
    <w:next w:val="Normal"/>
    <w:link w:val="IntenseQuoteChar"/>
    <w:uiPriority w:val="30"/>
    <w:qFormat/>
    <w:rsid w:val="001159A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159A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159AE"/>
    <w:rPr>
      <w:i/>
      <w:iCs/>
      <w:color w:val="595959" w:themeColor="text1" w:themeTint="A6"/>
    </w:rPr>
  </w:style>
  <w:style w:type="character" w:styleId="IntenseEmphasis">
    <w:name w:val="Intense Emphasis"/>
    <w:basedOn w:val="DefaultParagraphFont"/>
    <w:uiPriority w:val="21"/>
    <w:qFormat/>
    <w:rsid w:val="001159AE"/>
    <w:rPr>
      <w:b/>
      <w:bCs/>
      <w:i/>
      <w:iCs/>
    </w:rPr>
  </w:style>
  <w:style w:type="character" w:styleId="SubtleReference">
    <w:name w:val="Subtle Reference"/>
    <w:basedOn w:val="DefaultParagraphFont"/>
    <w:uiPriority w:val="31"/>
    <w:qFormat/>
    <w:rsid w:val="001159AE"/>
    <w:rPr>
      <w:smallCaps/>
      <w:color w:val="404040" w:themeColor="text1" w:themeTint="BF"/>
    </w:rPr>
  </w:style>
  <w:style w:type="character" w:styleId="IntenseReference">
    <w:name w:val="Intense Reference"/>
    <w:basedOn w:val="DefaultParagraphFont"/>
    <w:uiPriority w:val="32"/>
    <w:qFormat/>
    <w:rsid w:val="001159AE"/>
    <w:rPr>
      <w:b/>
      <w:bCs/>
      <w:smallCaps/>
      <w:u w:val="single"/>
    </w:rPr>
  </w:style>
  <w:style w:type="character" w:styleId="BookTitle">
    <w:name w:val="Book Title"/>
    <w:basedOn w:val="DefaultParagraphFont"/>
    <w:uiPriority w:val="33"/>
    <w:qFormat/>
    <w:rsid w:val="001159AE"/>
    <w:rPr>
      <w:b/>
      <w:bCs/>
      <w:smallCaps/>
    </w:rPr>
  </w:style>
  <w:style w:type="paragraph" w:styleId="TOCHeading">
    <w:name w:val="TOC Heading"/>
    <w:basedOn w:val="Heading1"/>
    <w:next w:val="Normal"/>
    <w:uiPriority w:val="39"/>
    <w:semiHidden/>
    <w:unhideWhenUsed/>
    <w:qFormat/>
    <w:rsid w:val="001159AE"/>
    <w:pPr>
      <w:outlineLvl w:val="9"/>
    </w:pPr>
  </w:style>
  <w:style w:type="paragraph" w:styleId="ListParagraph">
    <w:name w:val="List Paragraph"/>
    <w:basedOn w:val="Normal"/>
    <w:uiPriority w:val="34"/>
    <w:qFormat/>
    <w:rsid w:val="001159AE"/>
    <w:pPr>
      <w:ind w:left="720"/>
      <w:contextualSpacing/>
    </w:pPr>
  </w:style>
  <w:style w:type="character" w:styleId="CommentReference">
    <w:name w:val="annotation reference"/>
    <w:basedOn w:val="DefaultParagraphFont"/>
    <w:uiPriority w:val="99"/>
    <w:semiHidden/>
    <w:unhideWhenUsed/>
    <w:rsid w:val="001159AE"/>
    <w:rPr>
      <w:sz w:val="16"/>
      <w:szCs w:val="16"/>
    </w:rPr>
  </w:style>
  <w:style w:type="paragraph" w:styleId="CommentText">
    <w:name w:val="annotation text"/>
    <w:basedOn w:val="Normal"/>
    <w:link w:val="CommentTextChar"/>
    <w:uiPriority w:val="99"/>
    <w:semiHidden/>
    <w:unhideWhenUsed/>
    <w:rsid w:val="001159AE"/>
    <w:rPr>
      <w:sz w:val="20"/>
      <w:szCs w:val="20"/>
    </w:rPr>
  </w:style>
  <w:style w:type="character" w:customStyle="1" w:styleId="CommentTextChar">
    <w:name w:val="Comment Text Char"/>
    <w:basedOn w:val="DefaultParagraphFont"/>
    <w:link w:val="CommentText"/>
    <w:uiPriority w:val="99"/>
    <w:semiHidden/>
    <w:rsid w:val="001159AE"/>
    <w:rPr>
      <w:sz w:val="20"/>
      <w:szCs w:val="20"/>
    </w:rPr>
  </w:style>
  <w:style w:type="paragraph" w:styleId="CommentSubject">
    <w:name w:val="annotation subject"/>
    <w:basedOn w:val="CommentText"/>
    <w:next w:val="CommentText"/>
    <w:link w:val="CommentSubjectChar"/>
    <w:uiPriority w:val="99"/>
    <w:semiHidden/>
    <w:unhideWhenUsed/>
    <w:rsid w:val="001159AE"/>
    <w:rPr>
      <w:b/>
      <w:bCs/>
    </w:rPr>
  </w:style>
  <w:style w:type="character" w:customStyle="1" w:styleId="CommentSubjectChar">
    <w:name w:val="Comment Subject Char"/>
    <w:basedOn w:val="CommentTextChar"/>
    <w:link w:val="CommentSubject"/>
    <w:uiPriority w:val="99"/>
    <w:semiHidden/>
    <w:rsid w:val="001159AE"/>
    <w:rPr>
      <w:b/>
      <w:bCs/>
      <w:sz w:val="20"/>
      <w:szCs w:val="20"/>
    </w:rPr>
  </w:style>
  <w:style w:type="paragraph" w:styleId="BalloonText">
    <w:name w:val="Balloon Text"/>
    <w:basedOn w:val="Normal"/>
    <w:link w:val="BalloonTextChar"/>
    <w:uiPriority w:val="99"/>
    <w:semiHidden/>
    <w:unhideWhenUsed/>
    <w:rsid w:val="001159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9AE"/>
    <w:rPr>
      <w:rFonts w:ascii="Segoe UI" w:hAnsi="Segoe UI" w:cs="Segoe UI"/>
      <w:sz w:val="18"/>
      <w:szCs w:val="18"/>
    </w:rPr>
  </w:style>
  <w:style w:type="table" w:styleId="TableGrid">
    <w:name w:val="Table Grid"/>
    <w:basedOn w:val="TableNormal"/>
    <w:uiPriority w:val="39"/>
    <w:rsid w:val="005040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76A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09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31886">
      <w:bodyDiv w:val="1"/>
      <w:marLeft w:val="0"/>
      <w:marRight w:val="0"/>
      <w:marTop w:val="0"/>
      <w:marBottom w:val="0"/>
      <w:divBdr>
        <w:top w:val="none" w:sz="0" w:space="0" w:color="auto"/>
        <w:left w:val="none" w:sz="0" w:space="0" w:color="auto"/>
        <w:bottom w:val="none" w:sz="0" w:space="0" w:color="auto"/>
        <w:right w:val="none" w:sz="0" w:space="0" w:color="auto"/>
      </w:divBdr>
    </w:div>
    <w:div w:id="499587335">
      <w:bodyDiv w:val="1"/>
      <w:marLeft w:val="0"/>
      <w:marRight w:val="0"/>
      <w:marTop w:val="0"/>
      <w:marBottom w:val="0"/>
      <w:divBdr>
        <w:top w:val="none" w:sz="0" w:space="0" w:color="auto"/>
        <w:left w:val="none" w:sz="0" w:space="0" w:color="auto"/>
        <w:bottom w:val="none" w:sz="0" w:space="0" w:color="auto"/>
        <w:right w:val="none" w:sz="0" w:space="0" w:color="auto"/>
      </w:divBdr>
      <w:divsChild>
        <w:div w:id="1127429832">
          <w:marLeft w:val="0"/>
          <w:marRight w:val="0"/>
          <w:marTop w:val="0"/>
          <w:marBottom w:val="0"/>
          <w:divBdr>
            <w:top w:val="none" w:sz="0" w:space="0" w:color="auto"/>
            <w:left w:val="none" w:sz="0" w:space="0" w:color="auto"/>
            <w:bottom w:val="none" w:sz="0" w:space="0" w:color="auto"/>
            <w:right w:val="none" w:sz="0" w:space="0" w:color="auto"/>
          </w:divBdr>
          <w:divsChild>
            <w:div w:id="1529830765">
              <w:marLeft w:val="0"/>
              <w:marRight w:val="0"/>
              <w:marTop w:val="0"/>
              <w:marBottom w:val="0"/>
              <w:divBdr>
                <w:top w:val="none" w:sz="0" w:space="0" w:color="auto"/>
                <w:left w:val="none" w:sz="0" w:space="0" w:color="auto"/>
                <w:bottom w:val="none" w:sz="0" w:space="0" w:color="auto"/>
                <w:right w:val="none" w:sz="0" w:space="0" w:color="auto"/>
              </w:divBdr>
              <w:divsChild>
                <w:div w:id="13595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548074">
      <w:bodyDiv w:val="1"/>
      <w:marLeft w:val="0"/>
      <w:marRight w:val="0"/>
      <w:marTop w:val="0"/>
      <w:marBottom w:val="0"/>
      <w:divBdr>
        <w:top w:val="none" w:sz="0" w:space="0" w:color="auto"/>
        <w:left w:val="none" w:sz="0" w:space="0" w:color="auto"/>
        <w:bottom w:val="none" w:sz="0" w:space="0" w:color="auto"/>
        <w:right w:val="none" w:sz="0" w:space="0" w:color="auto"/>
      </w:divBdr>
    </w:div>
    <w:div w:id="1137718920">
      <w:bodyDiv w:val="1"/>
      <w:marLeft w:val="0"/>
      <w:marRight w:val="0"/>
      <w:marTop w:val="0"/>
      <w:marBottom w:val="0"/>
      <w:divBdr>
        <w:top w:val="none" w:sz="0" w:space="0" w:color="auto"/>
        <w:left w:val="none" w:sz="0" w:space="0" w:color="auto"/>
        <w:bottom w:val="none" w:sz="0" w:space="0" w:color="auto"/>
        <w:right w:val="none" w:sz="0" w:space="0" w:color="auto"/>
      </w:divBdr>
    </w:div>
    <w:div w:id="1226603497">
      <w:bodyDiv w:val="1"/>
      <w:marLeft w:val="0"/>
      <w:marRight w:val="0"/>
      <w:marTop w:val="0"/>
      <w:marBottom w:val="0"/>
      <w:divBdr>
        <w:top w:val="none" w:sz="0" w:space="0" w:color="auto"/>
        <w:left w:val="none" w:sz="0" w:space="0" w:color="auto"/>
        <w:bottom w:val="none" w:sz="0" w:space="0" w:color="auto"/>
        <w:right w:val="none" w:sz="0" w:space="0" w:color="auto"/>
      </w:divBdr>
    </w:div>
    <w:div w:id="1276015261">
      <w:bodyDiv w:val="1"/>
      <w:marLeft w:val="0"/>
      <w:marRight w:val="0"/>
      <w:marTop w:val="0"/>
      <w:marBottom w:val="0"/>
      <w:divBdr>
        <w:top w:val="none" w:sz="0" w:space="0" w:color="auto"/>
        <w:left w:val="none" w:sz="0" w:space="0" w:color="auto"/>
        <w:bottom w:val="none" w:sz="0" w:space="0" w:color="auto"/>
        <w:right w:val="none" w:sz="0" w:space="0" w:color="auto"/>
      </w:divBdr>
    </w:div>
    <w:div w:id="1399357426">
      <w:bodyDiv w:val="1"/>
      <w:marLeft w:val="0"/>
      <w:marRight w:val="0"/>
      <w:marTop w:val="0"/>
      <w:marBottom w:val="0"/>
      <w:divBdr>
        <w:top w:val="none" w:sz="0" w:space="0" w:color="auto"/>
        <w:left w:val="none" w:sz="0" w:space="0" w:color="auto"/>
        <w:bottom w:val="none" w:sz="0" w:space="0" w:color="auto"/>
        <w:right w:val="none" w:sz="0" w:space="0" w:color="auto"/>
      </w:divBdr>
      <w:divsChild>
        <w:div w:id="1701930650">
          <w:marLeft w:val="0"/>
          <w:marRight w:val="0"/>
          <w:marTop w:val="0"/>
          <w:marBottom w:val="0"/>
          <w:divBdr>
            <w:top w:val="none" w:sz="0" w:space="0" w:color="auto"/>
            <w:left w:val="none" w:sz="0" w:space="0" w:color="auto"/>
            <w:bottom w:val="none" w:sz="0" w:space="0" w:color="auto"/>
            <w:right w:val="none" w:sz="0" w:space="0" w:color="auto"/>
          </w:divBdr>
          <w:divsChild>
            <w:div w:id="717244947">
              <w:marLeft w:val="0"/>
              <w:marRight w:val="0"/>
              <w:marTop w:val="0"/>
              <w:marBottom w:val="0"/>
              <w:divBdr>
                <w:top w:val="none" w:sz="0" w:space="0" w:color="auto"/>
                <w:left w:val="none" w:sz="0" w:space="0" w:color="auto"/>
                <w:bottom w:val="none" w:sz="0" w:space="0" w:color="auto"/>
                <w:right w:val="none" w:sz="0" w:space="0" w:color="auto"/>
              </w:divBdr>
              <w:divsChild>
                <w:div w:id="2477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1467">
      <w:bodyDiv w:val="1"/>
      <w:marLeft w:val="0"/>
      <w:marRight w:val="0"/>
      <w:marTop w:val="0"/>
      <w:marBottom w:val="0"/>
      <w:divBdr>
        <w:top w:val="none" w:sz="0" w:space="0" w:color="auto"/>
        <w:left w:val="none" w:sz="0" w:space="0" w:color="auto"/>
        <w:bottom w:val="none" w:sz="0" w:space="0" w:color="auto"/>
        <w:right w:val="none" w:sz="0" w:space="0" w:color="auto"/>
      </w:divBdr>
    </w:div>
    <w:div w:id="1817646476">
      <w:bodyDiv w:val="1"/>
      <w:marLeft w:val="0"/>
      <w:marRight w:val="0"/>
      <w:marTop w:val="0"/>
      <w:marBottom w:val="0"/>
      <w:divBdr>
        <w:top w:val="none" w:sz="0" w:space="0" w:color="auto"/>
        <w:left w:val="none" w:sz="0" w:space="0" w:color="auto"/>
        <w:bottom w:val="none" w:sz="0" w:space="0" w:color="auto"/>
        <w:right w:val="none" w:sz="0" w:space="0" w:color="auto"/>
      </w:divBdr>
    </w:div>
    <w:div w:id="188220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mailto:learning.support.services@villanova.edu" TargetMode="External"/><Relationship Id="rId5" Type="http://schemas.openxmlformats.org/officeDocument/2006/relationships/webSettings" Target="webSettings.xml"/><Relationship Id="rId10" Type="http://schemas.openxmlformats.org/officeDocument/2006/relationships/hyperlink" Target="https://www1.villanova.edu/villanova/provost/resources/student/policies/integrity.html" TargetMode="External"/><Relationship Id="rId4" Type="http://schemas.openxmlformats.org/officeDocument/2006/relationships/settings" Target="settings.xml"/><Relationship Id="rId9" Type="http://schemas.openxmlformats.org/officeDocument/2006/relationships/hyperlink" Target="http://www1.villanova.edu/villanova/engineering/resources/policies/forms/studentAbsenc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87BB-6D61-2941-AEDC-CE5018B1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7</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Welker</dc:creator>
  <cp:keywords/>
  <dc:description/>
  <cp:lastModifiedBy>James Solderitsch</cp:lastModifiedBy>
  <cp:revision>63</cp:revision>
  <cp:lastPrinted>2018-01-15T15:02:00Z</cp:lastPrinted>
  <dcterms:created xsi:type="dcterms:W3CDTF">2017-07-25T16:14:00Z</dcterms:created>
  <dcterms:modified xsi:type="dcterms:W3CDTF">2020-01-06T17:23:00Z</dcterms:modified>
</cp:coreProperties>
</file>